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E9D8" w14:textId="77777777" w:rsidR="00B774AD" w:rsidRDefault="00B774AD" w:rsidP="003E0776">
      <w:pPr>
        <w:pStyle w:val="Titel"/>
      </w:pPr>
      <w:r>
        <w:t>Geschichte der römischen Literatur und Gesellschaft</w:t>
      </w:r>
    </w:p>
    <w:p w14:paraId="27D7F297" w14:textId="08122335" w:rsidR="00B774AD" w:rsidRDefault="00B774AD" w:rsidP="00B97E79">
      <w:pPr>
        <w:pStyle w:val="StandardWeb"/>
      </w:pPr>
      <w:r>
        <w:t>Eine tabellarische Übersicht zur römischen Geschichte und Literaturgeschichte von den Anfängen bis in die Spätantike (4</w:t>
      </w:r>
      <w:r w:rsidR="002407D7">
        <w:t>1</w:t>
      </w:r>
      <w:r>
        <w:t>0 n. Chr.)</w:t>
      </w:r>
    </w:p>
    <w:p w14:paraId="77136E69" w14:textId="77777777" w:rsidR="00AA75F2" w:rsidRDefault="00AA75F2" w:rsidP="00AA75F2">
      <w:pPr>
        <w:pStyle w:val="berschrift2"/>
        <w:spacing w:before="170" w:after="113"/>
        <w:rPr>
          <w:rFonts w:ascii="Liberation Sans" w:hAnsi="Liberation Sans" w:cs="Liberation Sans"/>
          <w:i/>
          <w:iCs/>
          <w:sz w:val="32"/>
          <w:szCs w:val="32"/>
        </w:rPr>
      </w:pPr>
      <w:r>
        <w:rPr>
          <w:rFonts w:ascii="Liberation Sans" w:hAnsi="Liberation Sans" w:cs="Liberation Sans"/>
          <w:i/>
          <w:iCs/>
          <w:sz w:val="32"/>
          <w:szCs w:val="32"/>
        </w:rPr>
        <w:t>Dokument 6: Von 235 n. Chr. bis 410 n. Chr.: Aufstieg des Christentums</w:t>
      </w:r>
    </w:p>
    <w:p w14:paraId="7BC5FBB8" w14:textId="77777777" w:rsidR="00B774AD" w:rsidRDefault="00B774AD" w:rsidP="00B97E79">
      <w:pPr>
        <w:pStyle w:val="StandardWeb"/>
      </w:pPr>
      <w:r>
        <w:t xml:space="preserve">Weitere Dokumente: </w:t>
      </w:r>
    </w:p>
    <w:p w14:paraId="7556A99E" w14:textId="77777777" w:rsidR="00B774AD" w:rsidRDefault="00B774AD">
      <w:pPr>
        <w:pStyle w:val="StandardWeb"/>
        <w:numPr>
          <w:ilvl w:val="0"/>
          <w:numId w:val="2"/>
        </w:numPr>
        <w:spacing w:after="0"/>
        <w:ind w:left="714" w:hanging="357"/>
      </w:pPr>
      <w:r>
        <w:t xml:space="preserve">Tabelle zur römischen Geschichte – vollständig, HTML, in den Seiten des Landesbildungsservers: </w:t>
      </w:r>
      <w:hyperlink r:id="rId8" w:history="1">
        <w:r>
          <w:rPr>
            <w:rStyle w:val="Hyperlink"/>
          </w:rPr>
          <w:t>www.schule-bw.de/faecher-und-schularten/sprachen-und-literatur/latein/antike-kultur/roemische-geschichte/daten/roemische-geschichte-tabelle.html</w:t>
        </w:r>
      </w:hyperlink>
      <w:r>
        <w:t xml:space="preserve"> </w:t>
      </w:r>
    </w:p>
    <w:p w14:paraId="18B60245" w14:textId="77777777" w:rsidR="00B774AD" w:rsidRDefault="00B774AD">
      <w:pPr>
        <w:pStyle w:val="StandardWeb"/>
        <w:numPr>
          <w:ilvl w:val="0"/>
          <w:numId w:val="2"/>
        </w:numPr>
        <w:spacing w:after="0"/>
        <w:ind w:left="714" w:hanging="357"/>
      </w:pPr>
      <w:r>
        <w:t xml:space="preserve">Download der Dokumente in den Formaten PDF, WORD und OpenOffice: </w:t>
      </w:r>
      <w:hyperlink r:id="rId9" w:history="1">
        <w:r>
          <w:rPr>
            <w:rStyle w:val="Hyperlink"/>
          </w:rPr>
          <w:t>www.schule-bw.de/faecher-und-schularten/sprachen-und-literatur/latein/antike-kultur/roemische-geschichte/downloadbereich</w:t>
        </w:r>
      </w:hyperlink>
      <w:r>
        <w:t xml:space="preserve"> </w:t>
      </w:r>
    </w:p>
    <w:p w14:paraId="1981CBE3" w14:textId="77777777" w:rsidR="00B774AD" w:rsidRDefault="00B774AD">
      <w:pPr>
        <w:pStyle w:val="StandardWeb"/>
        <w:numPr>
          <w:ilvl w:val="0"/>
          <w:numId w:val="2"/>
        </w:numPr>
        <w:spacing w:after="0"/>
        <w:ind w:left="714" w:hanging="357"/>
      </w:pPr>
      <w:r>
        <w:t xml:space="preserve">Die Daten, die in dieser Tabelle aufgelistet sind, entsprechen denen der </w:t>
      </w:r>
      <w:hyperlink r:id="rId10" w:history="1">
        <w:r>
          <w:rPr>
            <w:rStyle w:val="Hyperlink"/>
          </w:rPr>
          <w:t>interaktiven Zeitleiste zur römischen Geschichte und zur antiken Philosophie</w:t>
        </w:r>
      </w:hyperlink>
      <w:r>
        <w:t xml:space="preserve">. </w:t>
      </w:r>
    </w:p>
    <w:p w14:paraId="23778D7F" w14:textId="77777777" w:rsidR="00B774AD" w:rsidRDefault="00000000">
      <w:pPr>
        <w:pStyle w:val="StandardWeb"/>
        <w:numPr>
          <w:ilvl w:val="0"/>
          <w:numId w:val="2"/>
        </w:numPr>
        <w:spacing w:after="0"/>
        <w:ind w:left="714" w:hanging="357"/>
      </w:pPr>
      <w:hyperlink r:id="rId11" w:history="1">
        <w:r w:rsidR="00B774AD">
          <w:rPr>
            <w:rStyle w:val="Hyperlink"/>
          </w:rPr>
          <w:t>Methodische und didaktische Hinweise</w:t>
        </w:r>
      </w:hyperlink>
      <w:r w:rsidR="00B774AD">
        <w:t xml:space="preserve"> für Lehrkräfte </w:t>
      </w:r>
    </w:p>
    <w:p w14:paraId="3C7C064C" w14:textId="77777777" w:rsidR="00B774AD" w:rsidRDefault="00000000">
      <w:pPr>
        <w:pStyle w:val="StandardWeb"/>
        <w:numPr>
          <w:ilvl w:val="0"/>
          <w:numId w:val="2"/>
        </w:numPr>
        <w:spacing w:after="0"/>
        <w:ind w:left="714" w:hanging="357"/>
      </w:pPr>
      <w:hyperlink r:id="rId12" w:history="1">
        <w:r w:rsidR="00B774AD">
          <w:rPr>
            <w:rStyle w:val="Hyperlink"/>
          </w:rPr>
          <w:t>Interaktive Übungen</w:t>
        </w:r>
      </w:hyperlink>
      <w:r w:rsidR="00B774AD">
        <w:t xml:space="preserve"> </w:t>
      </w:r>
    </w:p>
    <w:p w14:paraId="3A73CC4D" w14:textId="70BAFCBF" w:rsidR="003E0776" w:rsidRDefault="00000000">
      <w:pPr>
        <w:pStyle w:val="StandardWeb"/>
        <w:numPr>
          <w:ilvl w:val="0"/>
          <w:numId w:val="2"/>
        </w:numPr>
        <w:spacing w:after="0"/>
        <w:ind w:left="714" w:hanging="357"/>
      </w:pPr>
      <w:hyperlink r:id="rId13" w:anchor="bp" w:history="1">
        <w:r w:rsidR="00B774AD">
          <w:rPr>
            <w:rStyle w:val="Hyperlink"/>
          </w:rPr>
          <w:t>Hinweise zum Bildungsplan</w:t>
        </w:r>
      </w:hyperlink>
      <w:r w:rsidR="00B774AD">
        <w:t xml:space="preserve"> </w:t>
      </w:r>
    </w:p>
    <w:p w14:paraId="47DC6454" w14:textId="77777777" w:rsidR="00AA75F2" w:rsidRDefault="00AA75F2" w:rsidP="00AA75F2">
      <w:pPr>
        <w:pStyle w:val="berschrift2"/>
        <w:rPr>
          <w:rFonts w:ascii="Liberation Sans" w:hAnsi="Liberation Sans" w:cs="Liberation Sans"/>
          <w:i/>
          <w:iCs/>
          <w:sz w:val="32"/>
          <w:szCs w:val="32"/>
        </w:rPr>
      </w:pPr>
      <w:r>
        <w:rPr>
          <w:rFonts w:ascii="Liberation Sans" w:hAnsi="Liberation Sans" w:cs="Liberation Sans"/>
          <w:i/>
          <w:iCs/>
          <w:sz w:val="32"/>
          <w:szCs w:val="32"/>
        </w:rPr>
        <w:t>Zeitalter der Soldatenkaiser (235 – 284 n. Chr.)</w:t>
      </w:r>
    </w:p>
    <w:p w14:paraId="6D01CB3F" w14:textId="77777777" w:rsidR="00AA75F2" w:rsidRDefault="00AA75F2" w:rsidP="00AA75F2">
      <w:pPr>
        <w:pStyle w:val="StandardWeb"/>
        <w:rPr>
          <w:rFonts w:ascii="Times New Roman" w:hAnsi="Times New Roman"/>
          <w:sz w:val="24"/>
        </w:rPr>
      </w:pPr>
      <w:r>
        <w:t>Der Name, den die Historiker dieser Epoche geben, zeigt den Charakter der Herrschaft dieser Zeit an: Sie stützt sich in erster Linie auf das Militär und ist von häufigen gewaltsamen Wechseln an der Macht und von Kriegen v. a. gegen germanische Stämme gekennzeichnet.</w:t>
      </w:r>
    </w:p>
    <w:p w14:paraId="78DF1CD4" w14:textId="77777777" w:rsidR="00AA75F2" w:rsidRPr="008B2931" w:rsidRDefault="00AA75F2" w:rsidP="00AA75F2">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t>Politische Entwicklung</w:t>
      </w:r>
    </w:p>
    <w:p w14:paraId="2261F56B" w14:textId="77777777" w:rsidR="00AA75F2" w:rsidRDefault="00AA75F2" w:rsidP="00AA75F2">
      <w:pPr>
        <w:pStyle w:val="berschrift4"/>
        <w:rPr>
          <w:rFonts w:ascii="Liberation Serif" w:hAnsi="Liberation Serif" w:cs="Liberation Serif"/>
        </w:rPr>
      </w:pPr>
      <w:r>
        <w:rPr>
          <w:rFonts w:ascii="Liberation Serif" w:hAnsi="Liberation Serif" w:cs="Liberation Serif"/>
        </w:rPr>
        <w:t>Häufiger Wechsel von Kaisern und Gegenkaisern</w:t>
      </w:r>
    </w:p>
    <w:p w14:paraId="2310BBDA" w14:textId="77777777" w:rsidR="00AA75F2" w:rsidRDefault="00AA75F2" w:rsidP="00AA75F2">
      <w:pPr>
        <w:pStyle w:val="StandardWeb"/>
        <w:rPr>
          <w:rFonts w:ascii="Times New Roman" w:hAnsi="Times New Roman"/>
        </w:rPr>
      </w:pPr>
      <w:r>
        <w:t>235 – 284</w:t>
      </w:r>
    </w:p>
    <w:p w14:paraId="54035397" w14:textId="77777777" w:rsidR="00AA75F2" w:rsidRDefault="00AA75F2" w:rsidP="00AA75F2">
      <w:pPr>
        <w:pStyle w:val="StandardWeb"/>
      </w:pPr>
      <w:r>
        <w:t xml:space="preserve">Nach der Ermordung von Severus Alexander und seiner Mutter </w:t>
      </w:r>
      <w:proofErr w:type="spellStart"/>
      <w:r>
        <w:t>Iulia</w:t>
      </w:r>
      <w:proofErr w:type="spellEnd"/>
      <w:r>
        <w:t xml:space="preserve"> </w:t>
      </w:r>
      <w:proofErr w:type="spellStart"/>
      <w:r>
        <w:t>Mamea</w:t>
      </w:r>
      <w:proofErr w:type="spellEnd"/>
      <w:r>
        <w:t xml:space="preserve"> kommt zunächst Maximinus </w:t>
      </w:r>
      <w:proofErr w:type="spellStart"/>
      <w:r>
        <w:t>Thrax</w:t>
      </w:r>
      <w:proofErr w:type="spellEnd"/>
      <w:r>
        <w:t xml:space="preserve"> an die Macht. Die unübersichtliche Folge von Kaisern wird hier nicht dargestellt. Zu erwähnen ist der Kaiser Aurelianus, der von 270 – 275 regiert und der die nach ihm benannte </w:t>
      </w:r>
      <w:proofErr w:type="spellStart"/>
      <w:r>
        <w:t>Aurelianische</w:t>
      </w:r>
      <w:proofErr w:type="spellEnd"/>
      <w:r>
        <w:t xml:space="preserve"> Mauer erbauen lässt.</w:t>
      </w:r>
    </w:p>
    <w:p w14:paraId="724FD4C4" w14:textId="77777777" w:rsidR="008B2931" w:rsidRDefault="008B2931">
      <w:pPr>
        <w:spacing w:after="0" w:line="240" w:lineRule="auto"/>
        <w:rPr>
          <w:rFonts w:ascii="Liberation Sans" w:hAnsi="Liberation Sans" w:cs="Liberation Sans"/>
          <w:b/>
          <w:bCs/>
          <w:sz w:val="28"/>
          <w:szCs w:val="28"/>
        </w:rPr>
      </w:pPr>
      <w:r>
        <w:rPr>
          <w:rFonts w:ascii="Liberation Sans" w:hAnsi="Liberation Sans" w:cs="Liberation Sans"/>
          <w:sz w:val="28"/>
          <w:szCs w:val="28"/>
        </w:rPr>
        <w:br w:type="page"/>
      </w:r>
    </w:p>
    <w:p w14:paraId="1EAAA6F1" w14:textId="78BC7E8D" w:rsidR="00AA75F2" w:rsidRPr="008B2931" w:rsidRDefault="00AA75F2" w:rsidP="00AA75F2">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lastRenderedPageBreak/>
        <w:t>Konflikte mit anderen Völkern</w:t>
      </w:r>
    </w:p>
    <w:p w14:paraId="13D33249" w14:textId="77777777" w:rsidR="00AA75F2" w:rsidRDefault="00AA75F2" w:rsidP="00AA75F2">
      <w:pPr>
        <w:pStyle w:val="berschrift4"/>
        <w:rPr>
          <w:rFonts w:ascii="Liberation Serif" w:hAnsi="Liberation Serif" w:cs="Liberation Serif"/>
        </w:rPr>
      </w:pPr>
      <w:bookmarkStart w:id="0" w:name="aurelianus"/>
      <w:bookmarkEnd w:id="0"/>
      <w:r>
        <w:rPr>
          <w:rFonts w:ascii="Liberation Serif" w:hAnsi="Liberation Serif" w:cs="Liberation Serif"/>
        </w:rPr>
        <w:t xml:space="preserve">Bau der </w:t>
      </w:r>
      <w:proofErr w:type="spellStart"/>
      <w:r>
        <w:rPr>
          <w:rFonts w:ascii="Liberation Serif" w:hAnsi="Liberation Serif" w:cs="Liberation Serif"/>
        </w:rPr>
        <w:t>Aurelianischen</w:t>
      </w:r>
      <w:proofErr w:type="spellEnd"/>
      <w:r>
        <w:rPr>
          <w:rFonts w:ascii="Liberation Serif" w:hAnsi="Liberation Serif" w:cs="Liberation Serif"/>
        </w:rPr>
        <w:t xml:space="preserve"> Mauer</w:t>
      </w:r>
    </w:p>
    <w:p w14:paraId="283CDFFB" w14:textId="77777777" w:rsidR="00AA75F2" w:rsidRDefault="00AA75F2" w:rsidP="00AA75F2">
      <w:pPr>
        <w:pStyle w:val="StandardWeb"/>
        <w:rPr>
          <w:rFonts w:ascii="Times New Roman" w:hAnsi="Times New Roman"/>
        </w:rPr>
      </w:pPr>
      <w:r>
        <w:t>270 – 282</w:t>
      </w:r>
    </w:p>
    <w:p w14:paraId="42696245" w14:textId="62B68158" w:rsidR="00AA75F2" w:rsidRDefault="00AA75F2" w:rsidP="00AA75F2">
      <w:pPr>
        <w:pStyle w:val="StandardWeb"/>
      </w:pPr>
      <w:r>
        <w:t xml:space="preserve">Der Kaiser Aurelianus, der von 270 bis 275 herrscht, lässt eine Stadtmauer errichten, mit der Rom gegen die Einfälle der Germanen verteidigt werden soll. Sein Nachfolger </w:t>
      </w:r>
      <w:proofErr w:type="spellStart"/>
      <w:r>
        <w:t>Probus</w:t>
      </w:r>
      <w:proofErr w:type="spellEnd"/>
      <w:r>
        <w:t xml:space="preserve"> setzt den Bau fort. An der Notwendigkeit dieser Mauer kann man erkennen, wie drängend die Gefahr von Überfällen auf die Hauptstadt des Imperiums geworden war. </w:t>
      </w:r>
      <w:r>
        <w:rPr>
          <w:noProof/>
        </w:rPr>
        <w:drawing>
          <wp:anchor distT="66675" distB="66675" distL="0" distR="0" simplePos="0" relativeHeight="251658240" behindDoc="0" locked="0" layoutInCell="1" allowOverlap="0" wp14:anchorId="67F89E43" wp14:editId="552AB6E0">
            <wp:simplePos x="0" y="0"/>
            <wp:positionH relativeFrom="column">
              <wp:align>left</wp:align>
            </wp:positionH>
            <wp:positionV relativeFrom="line">
              <wp:posOffset>0</wp:posOffset>
            </wp:positionV>
            <wp:extent cx="6120130" cy="2382520"/>
            <wp:effectExtent l="0" t="0" r="0" b="0"/>
            <wp:wrapSquare wrapText="bothSides"/>
            <wp:docPr id="4" name="Grafik 4" descr="Ein Bild, das Gebäude, draußen, Himmel,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ebäude, draußen, Himmel, Straß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38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BD2D9" w14:textId="77777777" w:rsidR="00AA75F2" w:rsidRPr="008B2931" w:rsidRDefault="00AA75F2" w:rsidP="00AA75F2">
      <w:pPr>
        <w:pStyle w:val="berschrift3"/>
        <w:rPr>
          <w:rFonts w:ascii="Liberation Sans" w:hAnsi="Liberation Sans" w:cs="Liberation Sans"/>
          <w:b w:val="0"/>
          <w:bCs w:val="0"/>
          <w:sz w:val="28"/>
          <w:szCs w:val="28"/>
        </w:rPr>
      </w:pPr>
      <w:bookmarkStart w:id="1" w:name="christenverfolgungen249"/>
      <w:bookmarkEnd w:id="1"/>
      <w:r w:rsidRPr="008B2931">
        <w:rPr>
          <w:rFonts w:ascii="Liberation Sans" w:hAnsi="Liberation Sans" w:cs="Liberation Sans"/>
          <w:b w:val="0"/>
          <w:bCs w:val="0"/>
          <w:sz w:val="28"/>
          <w:szCs w:val="28"/>
        </w:rPr>
        <w:t>Philosophie, Religion und Literatur: Kultureller Stillstand und Christenverfolgungen</w:t>
      </w:r>
    </w:p>
    <w:p w14:paraId="7504AA3E" w14:textId="77777777" w:rsidR="00AA75F2" w:rsidRDefault="00AA75F2" w:rsidP="00AA75F2">
      <w:pPr>
        <w:pStyle w:val="StandardWeb"/>
        <w:rPr>
          <w:rFonts w:ascii="Times New Roman" w:hAnsi="Times New Roman"/>
          <w:sz w:val="24"/>
        </w:rPr>
      </w:pPr>
      <w:r>
        <w:t>249 – 251 (Decius) und 253 – 260 (Valerian)</w:t>
      </w:r>
    </w:p>
    <w:p w14:paraId="4F03FD71" w14:textId="77777777" w:rsidR="00AA75F2" w:rsidRDefault="00AA75F2" w:rsidP="00AA75F2">
      <w:pPr>
        <w:pStyle w:val="StandardWeb"/>
      </w:pPr>
      <w:r>
        <w:t>Aus der Zeit der Soldatenkaiser sind keine Zeugnisse literarischer oder philosophischer Kreativität bekannt. Die Krise des Reichs erfasst auch die Kultur. Im Bereich der Religion verschärft sich der Konflikt zwischen der paganen („heidnischen“) Staatsreligion und den immer mehr erstarkenden Christen: Die Kaiser Decius und Valerian lassen die Christen gewaltsam verfolgen.</w:t>
      </w:r>
    </w:p>
    <w:p w14:paraId="671EA7B3" w14:textId="77777777" w:rsidR="00AA75F2" w:rsidRDefault="00AA75F2" w:rsidP="00AA75F2">
      <w:pPr>
        <w:pStyle w:val="StandardWeb"/>
      </w:pPr>
      <w:r>
        <w:t>Linkempfehlungen:</w:t>
      </w:r>
    </w:p>
    <w:p w14:paraId="1E145B17" w14:textId="77777777" w:rsidR="00AA75F2" w:rsidRDefault="00AA75F2" w:rsidP="00AA75F2">
      <w:pPr>
        <w:pStyle w:val="StandardWeb"/>
        <w:numPr>
          <w:ilvl w:val="0"/>
          <w:numId w:val="37"/>
        </w:numPr>
        <w:spacing w:before="100" w:beforeAutospacing="1" w:after="0"/>
      </w:pPr>
      <w:hyperlink r:id="rId15" w:history="1">
        <w:r>
          <w:rPr>
            <w:rStyle w:val="Hyperlink"/>
          </w:rPr>
          <w:t>Wikipedia</w:t>
        </w:r>
      </w:hyperlink>
      <w:r>
        <w:t xml:space="preserve"> über Christenverfolgungen </w:t>
      </w:r>
    </w:p>
    <w:p w14:paraId="6322397A" w14:textId="1135D6EC" w:rsidR="00AA75F2" w:rsidRPr="00AA75F2" w:rsidRDefault="00AA75F2" w:rsidP="008B651F">
      <w:pPr>
        <w:pStyle w:val="StandardWeb"/>
        <w:numPr>
          <w:ilvl w:val="0"/>
          <w:numId w:val="37"/>
        </w:numPr>
        <w:spacing w:before="100" w:beforeAutospacing="1" w:after="320"/>
        <w:rPr>
          <w:rFonts w:ascii="Liberation Sans" w:hAnsi="Liberation Sans" w:cs="Liberation Sans"/>
          <w:i/>
          <w:iCs/>
          <w:sz w:val="32"/>
          <w:szCs w:val="32"/>
        </w:rPr>
      </w:pPr>
      <w:r>
        <w:t xml:space="preserve">Artikel </w:t>
      </w:r>
      <w:r>
        <w:rPr>
          <w:rStyle w:val="Hervorhebung"/>
        </w:rPr>
        <w:t>Christenverfolgungen im frühen Christentum</w:t>
      </w:r>
      <w:r>
        <w:t xml:space="preserve"> bei </w:t>
      </w:r>
      <w:hyperlink r:id="rId16" w:tgtFrame="_blank" w:history="1">
        <w:proofErr w:type="spellStart"/>
        <w:r>
          <w:rPr>
            <w:rStyle w:val="Hyperlink"/>
          </w:rPr>
          <w:t>WiReLex</w:t>
        </w:r>
        <w:proofErr w:type="spellEnd"/>
      </w:hyperlink>
      <w:r>
        <w:t xml:space="preserve"> - Das Wissenschaftlich-Religionspädagogische Lexikon im Internet; Autoren: Martina Hartl und Andreas Merkt.</w:t>
      </w:r>
      <w:bookmarkStart w:id="2" w:name="300"/>
      <w:bookmarkEnd w:id="2"/>
    </w:p>
    <w:p w14:paraId="3303DBA8" w14:textId="77777777" w:rsidR="00AA75F2" w:rsidRDefault="00AA75F2" w:rsidP="00AA75F2">
      <w:pPr>
        <w:pStyle w:val="berschrift2"/>
        <w:pageBreakBefore/>
        <w:rPr>
          <w:rFonts w:ascii="Liberation Sans" w:hAnsi="Liberation Sans" w:cs="Liberation Sans"/>
          <w:i/>
          <w:iCs/>
          <w:sz w:val="32"/>
          <w:szCs w:val="32"/>
        </w:rPr>
      </w:pPr>
      <w:r>
        <w:rPr>
          <w:rFonts w:ascii="Liberation Sans" w:hAnsi="Liberation Sans" w:cs="Liberation Sans"/>
          <w:i/>
          <w:iCs/>
          <w:sz w:val="32"/>
          <w:szCs w:val="32"/>
        </w:rPr>
        <w:lastRenderedPageBreak/>
        <w:t>Diokletian und der Beginn der Reichsteilung/Tetrarchie [Viererherrschaft] (284 – 305 n. Chr.)</w:t>
      </w:r>
    </w:p>
    <w:p w14:paraId="360E89CF" w14:textId="77777777" w:rsidR="00AA75F2" w:rsidRDefault="00AA75F2" w:rsidP="00AA75F2">
      <w:pPr>
        <w:pStyle w:val="StandardWeb"/>
        <w:rPr>
          <w:rFonts w:ascii="Times New Roman" w:hAnsi="Times New Roman"/>
          <w:sz w:val="24"/>
        </w:rPr>
      </w:pPr>
      <w:r>
        <w:t>Das Chaos, das unter der Herrschaft der Soldatenkaiser Italien und das Imperium bestimmt, sucht Kaiser Diokletian dadurch einzuhegen, dass er die Herrschaft auf mehrere Kaiser aufteilt.</w:t>
      </w:r>
    </w:p>
    <w:p w14:paraId="66C99281" w14:textId="77777777" w:rsidR="00AA75F2" w:rsidRPr="008B2931" w:rsidRDefault="00AA75F2" w:rsidP="00AA75F2">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t>Politische Entwicklung</w:t>
      </w:r>
    </w:p>
    <w:p w14:paraId="5E064391" w14:textId="77777777" w:rsidR="00AA75F2" w:rsidRDefault="00AA75F2" w:rsidP="00AA75F2">
      <w:pPr>
        <w:pStyle w:val="berschrift4"/>
        <w:rPr>
          <w:rFonts w:ascii="Liberation Serif" w:hAnsi="Liberation Serif" w:cs="Liberation Serif"/>
        </w:rPr>
      </w:pPr>
      <w:bookmarkStart w:id="3" w:name="diokletian"/>
      <w:bookmarkEnd w:id="3"/>
      <w:r>
        <w:rPr>
          <w:rFonts w:ascii="Liberation Serif" w:hAnsi="Liberation Serif" w:cs="Liberation Serif"/>
        </w:rPr>
        <w:t>Kaiserherrschaft Diokletians</w:t>
      </w:r>
    </w:p>
    <w:p w14:paraId="315AF050" w14:textId="77777777" w:rsidR="00AA75F2" w:rsidRDefault="00AA75F2" w:rsidP="00AA75F2">
      <w:pPr>
        <w:pStyle w:val="StandardWeb"/>
        <w:rPr>
          <w:rFonts w:ascii="Times New Roman" w:hAnsi="Times New Roman"/>
        </w:rPr>
      </w:pPr>
      <w:r>
        <w:t>284 – 305 n. Chr.</w:t>
      </w:r>
    </w:p>
    <w:p w14:paraId="08C1F05A" w14:textId="77777777" w:rsidR="00AA75F2" w:rsidRDefault="00AA75F2" w:rsidP="00AA75F2">
      <w:pPr>
        <w:pStyle w:val="StandardWeb"/>
      </w:pPr>
      <w:r>
        <w:t>Lebensdaten Diokletians: ca. 240 – 312 n. Chr.</w:t>
      </w:r>
    </w:p>
    <w:p w14:paraId="132E6485" w14:textId="77777777" w:rsidR="00AA75F2" w:rsidRDefault="00AA75F2" w:rsidP="00AA75F2">
      <w:pPr>
        <w:pStyle w:val="StandardWeb"/>
      </w:pPr>
      <w:r>
        <w:t>Diokletian (</w:t>
      </w:r>
      <w:hyperlink r:id="rId17" w:tgtFrame="_blank" w:history="1">
        <w:r>
          <w:rPr>
            <w:rStyle w:val="Hyperlink"/>
          </w:rPr>
          <w:t>Wikipedia</w:t>
        </w:r>
      </w:hyperlink>
      <w:r>
        <w:t xml:space="preserve">) leitet eine umfassende Reform der Reichsverwaltung ein. Er beruft </w:t>
      </w:r>
      <w:proofErr w:type="spellStart"/>
      <w:r>
        <w:t>Maximian</w:t>
      </w:r>
      <w:proofErr w:type="spellEnd"/>
      <w:r>
        <w:t xml:space="preserve"> (Marcus Aurelius Valerius Maximianus, </w:t>
      </w:r>
      <w:hyperlink r:id="rId18" w:tgtFrame="_blank" w:history="1">
        <w:r>
          <w:rPr>
            <w:rStyle w:val="Hyperlink"/>
          </w:rPr>
          <w:t>Wikipedia</w:t>
        </w:r>
      </w:hyperlink>
      <w:r>
        <w:t xml:space="preserve">) als Regenten des östlichen Teiles des Imperiums und gesteht ihm auch den Titel des Augustus zu. Jeder Kaiser beruft einen Unterkaiser. Galerius (Gaius Galerius Valerius Maximianus, </w:t>
      </w:r>
      <w:hyperlink r:id="rId19" w:tgtFrame="_blank" w:history="1">
        <w:r>
          <w:rPr>
            <w:rStyle w:val="Hyperlink"/>
          </w:rPr>
          <w:t>Wikipedia</w:t>
        </w:r>
      </w:hyperlink>
      <w:r>
        <w:t xml:space="preserve">) wird zum der Caesar des Ostens, Constantius I. (Flavius Valerius Constantius, auch Constantius Chlorus genannt, </w:t>
      </w:r>
      <w:hyperlink r:id="rId20" w:tgtFrame="_blank" w:history="1">
        <w:r>
          <w:rPr>
            <w:rStyle w:val="Hyperlink"/>
          </w:rPr>
          <w:t>Wikipedia</w:t>
        </w:r>
      </w:hyperlink>
      <w:r>
        <w:t>) zum Caesar des Westens. Constantius' Sohn Konstantin der Große wird später wieder Alleinherrscher, beruft aber untergeordnete Caesares.</w:t>
      </w:r>
    </w:p>
    <w:p w14:paraId="75D30227" w14:textId="77777777" w:rsidR="00AA75F2" w:rsidRPr="008B2931" w:rsidRDefault="00AA75F2" w:rsidP="00AA75F2">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t>Konflikte mit anderen Völkern</w:t>
      </w:r>
    </w:p>
    <w:p w14:paraId="3B068914" w14:textId="77777777" w:rsidR="00AA75F2" w:rsidRDefault="00AA75F2" w:rsidP="00AA75F2">
      <w:pPr>
        <w:pStyle w:val="berschrift4"/>
        <w:rPr>
          <w:rFonts w:ascii="Liberation Serif" w:hAnsi="Liberation Serif" w:cs="Liberation Serif"/>
        </w:rPr>
      </w:pPr>
      <w:bookmarkStart w:id="4" w:name="diokletianbritannien"/>
      <w:bookmarkEnd w:id="4"/>
      <w:r>
        <w:rPr>
          <w:rFonts w:ascii="Liberation Serif" w:hAnsi="Liberation Serif" w:cs="Liberation Serif"/>
        </w:rPr>
        <w:t>Militärische Erfolge Diokletians</w:t>
      </w:r>
    </w:p>
    <w:p w14:paraId="04C5A84D" w14:textId="77777777" w:rsidR="00AA75F2" w:rsidRDefault="00AA75F2" w:rsidP="00AA75F2">
      <w:pPr>
        <w:pStyle w:val="StandardWeb"/>
        <w:rPr>
          <w:rFonts w:ascii="Times New Roman" w:hAnsi="Times New Roman"/>
        </w:rPr>
      </w:pPr>
      <w:r>
        <w:t>Während seiner Herrschaft kann Diokletian Siege in Ägypten, im persischen Reich und in Auseinandersetzungen mit den Germanen erringen, so dass die Reichsgrenzen vorläufig relativ sicher sind.</w:t>
      </w:r>
    </w:p>
    <w:p w14:paraId="2DD631E5" w14:textId="77777777" w:rsidR="00AA75F2" w:rsidRPr="008B2931" w:rsidRDefault="00AA75F2" w:rsidP="00AA75F2">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t>Philosophie, Religion und Literatur</w:t>
      </w:r>
    </w:p>
    <w:p w14:paraId="0D44E035" w14:textId="77777777" w:rsidR="00AA75F2" w:rsidRDefault="00AA75F2" w:rsidP="00AA75F2">
      <w:pPr>
        <w:pStyle w:val="berschrift4"/>
        <w:rPr>
          <w:rFonts w:ascii="Liberation Serif" w:hAnsi="Liberation Serif" w:cs="Liberation Serif"/>
        </w:rPr>
      </w:pPr>
      <w:bookmarkStart w:id="5" w:name="diokletianchristen"/>
      <w:bookmarkEnd w:id="5"/>
      <w:r>
        <w:rPr>
          <w:rFonts w:ascii="Liberation Serif" w:hAnsi="Liberation Serif" w:cs="Liberation Serif"/>
        </w:rPr>
        <w:t>Christenverfolgungen unter Diokletian und seinen Nachfolgern</w:t>
      </w:r>
    </w:p>
    <w:p w14:paraId="265A05B5" w14:textId="77777777" w:rsidR="00AA75F2" w:rsidRDefault="00AA75F2" w:rsidP="00AA75F2">
      <w:pPr>
        <w:pStyle w:val="StandardWeb"/>
        <w:rPr>
          <w:rFonts w:ascii="Times New Roman" w:hAnsi="Times New Roman"/>
        </w:rPr>
      </w:pPr>
      <w:r>
        <w:t>303 – 311 n. Chr.</w:t>
      </w:r>
    </w:p>
    <w:p w14:paraId="6699A9EC" w14:textId="77777777" w:rsidR="00AA75F2" w:rsidRDefault="00AA75F2" w:rsidP="00AA75F2">
      <w:pPr>
        <w:pStyle w:val="StandardWeb"/>
      </w:pPr>
      <w:r>
        <w:t xml:space="preserve">Unter Diokletian beginnen die letzten großen Christenverfolgungen, bevor das Christentum unter seinem Nachfolger an der Spitze des Imperiums, Konstantin dem Großen, als Religion geduldet wird. Den ersten Anstoß zu dieser neuen Entwicklung gibt wohl Galerius (Gaius Galerius Valerius Maximianus, </w:t>
      </w:r>
      <w:hyperlink r:id="rId21" w:tgtFrame="_blank" w:history="1">
        <w:r>
          <w:rPr>
            <w:rStyle w:val="Hyperlink"/>
          </w:rPr>
          <w:t>Wikipedia</w:t>
        </w:r>
      </w:hyperlink>
      <w:r>
        <w:t>), der gegen Ende seines Lebens ein Toleranzedikt erlässt.</w:t>
      </w:r>
    </w:p>
    <w:p w14:paraId="3018B347" w14:textId="77777777" w:rsidR="00AA75F2" w:rsidRDefault="00AA75F2" w:rsidP="00AA75F2">
      <w:pPr>
        <w:pStyle w:val="berschrift4"/>
        <w:rPr>
          <w:rFonts w:ascii="Liberation Serif" w:hAnsi="Liberation Serif" w:cs="Liberation Serif"/>
        </w:rPr>
      </w:pPr>
      <w:bookmarkStart w:id="6" w:name="laktanz"/>
      <w:bookmarkEnd w:id="6"/>
      <w:r>
        <w:rPr>
          <w:rFonts w:ascii="Liberation Serif" w:hAnsi="Liberation Serif" w:cs="Liberation Serif"/>
        </w:rPr>
        <w:t xml:space="preserve">Der Theologe </w:t>
      </w:r>
      <w:proofErr w:type="spellStart"/>
      <w:r>
        <w:rPr>
          <w:rFonts w:ascii="Liberation Serif" w:hAnsi="Liberation Serif" w:cs="Liberation Serif"/>
        </w:rPr>
        <w:t>Laktanz</w:t>
      </w:r>
      <w:proofErr w:type="spellEnd"/>
      <w:r>
        <w:rPr>
          <w:rFonts w:ascii="Liberation Serif" w:hAnsi="Liberation Serif" w:cs="Liberation Serif"/>
        </w:rPr>
        <w:t xml:space="preserve"> beginnt mit der Abfassung der </w:t>
      </w:r>
      <w:proofErr w:type="spellStart"/>
      <w:r>
        <w:rPr>
          <w:rStyle w:val="Hervorhebung"/>
          <w:rFonts w:ascii="Liberation Serif" w:hAnsi="Liberation Serif" w:cs="Liberation Serif"/>
        </w:rPr>
        <w:t>Divinae</w:t>
      </w:r>
      <w:proofErr w:type="spellEnd"/>
      <w:r>
        <w:rPr>
          <w:rStyle w:val="Hervorhebung"/>
          <w:rFonts w:ascii="Liberation Serif" w:hAnsi="Liberation Serif" w:cs="Liberation Serif"/>
        </w:rPr>
        <w:t xml:space="preserve"> </w:t>
      </w:r>
      <w:proofErr w:type="spellStart"/>
      <w:r>
        <w:rPr>
          <w:rStyle w:val="Hervorhebung"/>
          <w:rFonts w:ascii="Liberation Serif" w:hAnsi="Liberation Serif" w:cs="Liberation Serif"/>
        </w:rPr>
        <w:t>institutiones</w:t>
      </w:r>
      <w:proofErr w:type="spellEnd"/>
    </w:p>
    <w:p w14:paraId="3EA27DE4" w14:textId="77777777" w:rsidR="00AA75F2" w:rsidRDefault="00AA75F2" w:rsidP="00AA75F2">
      <w:pPr>
        <w:pStyle w:val="StandardWeb"/>
        <w:rPr>
          <w:rFonts w:ascii="Times New Roman" w:hAnsi="Times New Roman"/>
        </w:rPr>
      </w:pPr>
      <w:r>
        <w:t>303 n. Chr.</w:t>
      </w:r>
    </w:p>
    <w:p w14:paraId="7AC45829" w14:textId="77777777" w:rsidR="00AA75F2" w:rsidRDefault="00AA75F2" w:rsidP="00AA75F2">
      <w:pPr>
        <w:pStyle w:val="StandardWeb"/>
      </w:pPr>
      <w:proofErr w:type="spellStart"/>
      <w:r>
        <w:t>Laktanz</w:t>
      </w:r>
      <w:proofErr w:type="spellEnd"/>
      <w:r>
        <w:t xml:space="preserve"> (L. </w:t>
      </w:r>
      <w:proofErr w:type="spellStart"/>
      <w:r>
        <w:t>Firmius</w:t>
      </w:r>
      <w:proofErr w:type="spellEnd"/>
      <w:r>
        <w:t xml:space="preserve"> </w:t>
      </w:r>
      <w:proofErr w:type="spellStart"/>
      <w:r>
        <w:t>Caelianus</w:t>
      </w:r>
      <w:proofErr w:type="spellEnd"/>
      <w:r>
        <w:t xml:space="preserve"> </w:t>
      </w:r>
      <w:proofErr w:type="spellStart"/>
      <w:r>
        <w:t>Lactantius</w:t>
      </w:r>
      <w:proofErr w:type="spellEnd"/>
      <w:r>
        <w:t xml:space="preserve">, Lebensdaten um 250 – 325) begann als paganer („heidnischer“), d. h. nicht-christlicher Schriftsteller und wendet sich im Laufe seines Lebens dem Christentum zu. Er ist vermutlich Lehrer von Konstantin dem Großen. Sein umfangreiches Hauptwerk, </w:t>
      </w:r>
      <w:proofErr w:type="spellStart"/>
      <w:r>
        <w:rPr>
          <w:rStyle w:val="Hervorhebung"/>
        </w:rPr>
        <w:t>Divinae</w:t>
      </w:r>
      <w:proofErr w:type="spellEnd"/>
      <w:r>
        <w:rPr>
          <w:rStyle w:val="Hervorhebung"/>
        </w:rPr>
        <w:t xml:space="preserve"> </w:t>
      </w:r>
      <w:proofErr w:type="spellStart"/>
      <w:r>
        <w:rPr>
          <w:rStyle w:val="Hervorhebung"/>
        </w:rPr>
        <w:t>institutiones</w:t>
      </w:r>
      <w:proofErr w:type="spellEnd"/>
      <w:r>
        <w:t xml:space="preserve">, stellt die christliche Lehre umfassend dar. Ferner verfasst er eine große Zahl weiterer Werke, z. B. </w:t>
      </w:r>
      <w:r>
        <w:rPr>
          <w:rStyle w:val="Hervorhebung"/>
        </w:rPr>
        <w:t xml:space="preserve">De </w:t>
      </w:r>
      <w:proofErr w:type="spellStart"/>
      <w:r>
        <w:rPr>
          <w:rStyle w:val="Hervorhebung"/>
        </w:rPr>
        <w:t>mortibus</w:t>
      </w:r>
      <w:proofErr w:type="spellEnd"/>
      <w:r>
        <w:rPr>
          <w:rStyle w:val="Hervorhebung"/>
        </w:rPr>
        <w:t xml:space="preserve"> </w:t>
      </w:r>
      <w:proofErr w:type="spellStart"/>
      <w:r>
        <w:rPr>
          <w:rStyle w:val="Hervorhebung"/>
        </w:rPr>
        <w:t>persecutorum</w:t>
      </w:r>
      <w:proofErr w:type="spellEnd"/>
      <w:r>
        <w:t xml:space="preserve"> (Über die Todesarten der Verfolger [d. h. der Verfolger der Christen]), in dem er auch den Weg des Konstantin an die Macht beschreibt, ferner das Werk </w:t>
      </w:r>
      <w:r>
        <w:rPr>
          <w:rStyle w:val="Hervorhebung"/>
        </w:rPr>
        <w:t xml:space="preserve">De </w:t>
      </w:r>
      <w:proofErr w:type="spellStart"/>
      <w:r>
        <w:rPr>
          <w:rStyle w:val="Hervorhebung"/>
        </w:rPr>
        <w:t>ira</w:t>
      </w:r>
      <w:proofErr w:type="spellEnd"/>
      <w:r>
        <w:rPr>
          <w:rStyle w:val="Hervorhebung"/>
        </w:rPr>
        <w:t xml:space="preserve"> </w:t>
      </w:r>
      <w:proofErr w:type="spellStart"/>
      <w:r>
        <w:rPr>
          <w:rStyle w:val="Hervorhebung"/>
        </w:rPr>
        <w:t>dei</w:t>
      </w:r>
      <w:proofErr w:type="spellEnd"/>
      <w:r>
        <w:t xml:space="preserve"> (Über den Zorn Gottes), das dem theologischen Problem nachgeht, wie ein guter </w:t>
      </w:r>
      <w:r>
        <w:lastRenderedPageBreak/>
        <w:t xml:space="preserve">Gott zornig sein kann, d. h. wie der Widerspruch zwischen der Güte des christlichen Gottes und seinem in der Bibel beschriebenen Zorn aufzulösen sei. </w:t>
      </w:r>
      <w:r>
        <w:br/>
      </w:r>
      <w:proofErr w:type="spellStart"/>
      <w:r>
        <w:t>Laktanz</w:t>
      </w:r>
      <w:proofErr w:type="spellEnd"/>
      <w:r>
        <w:t xml:space="preserve"> ist bekannt für seinen klassischen, an Cicero orientierten Stil.</w:t>
      </w:r>
    </w:p>
    <w:p w14:paraId="59770FE9" w14:textId="77777777" w:rsidR="00AA75F2" w:rsidRDefault="00AA75F2" w:rsidP="00AA75F2">
      <w:pPr>
        <w:pStyle w:val="StandardWeb"/>
      </w:pPr>
      <w:r>
        <w:t xml:space="preserve">Linkempfehlung: Werke des </w:t>
      </w:r>
      <w:proofErr w:type="spellStart"/>
      <w:r>
        <w:t>Laktanz</w:t>
      </w:r>
      <w:proofErr w:type="spellEnd"/>
      <w:r>
        <w:t xml:space="preserve"> in deutscher Übersetzung bei der </w:t>
      </w:r>
      <w:hyperlink r:id="rId22" w:tgtFrame="_blank" w:history="1">
        <w:r>
          <w:rPr>
            <w:rStyle w:val="Hyperlink"/>
          </w:rPr>
          <w:t>Bibliothek der Kirchenväter</w:t>
        </w:r>
      </w:hyperlink>
      <w:r>
        <w:t xml:space="preserve"> </w:t>
      </w:r>
    </w:p>
    <w:p w14:paraId="47AA3097" w14:textId="77777777" w:rsidR="00AA75F2" w:rsidRDefault="00AA75F2" w:rsidP="00AA75F2">
      <w:pPr>
        <w:pStyle w:val="berschrift2"/>
        <w:rPr>
          <w:rFonts w:ascii="Liberation Sans" w:hAnsi="Liberation Sans" w:cs="Liberation Sans"/>
          <w:i/>
          <w:iCs/>
          <w:sz w:val="32"/>
          <w:szCs w:val="32"/>
        </w:rPr>
      </w:pPr>
      <w:bookmarkStart w:id="7" w:name="konstantin"/>
      <w:bookmarkEnd w:id="7"/>
      <w:r>
        <w:rPr>
          <w:rFonts w:ascii="Liberation Sans" w:hAnsi="Liberation Sans" w:cs="Liberation Sans"/>
          <w:i/>
          <w:iCs/>
          <w:sz w:val="32"/>
          <w:szCs w:val="32"/>
        </w:rPr>
        <w:t>Konstantin der Große (Konstantin) herrscht als Kaiser; konstantinische Dynastie (305 – 361 n. Chr.)</w:t>
      </w:r>
    </w:p>
    <w:p w14:paraId="6716ED9D" w14:textId="77777777" w:rsidR="00AA75F2" w:rsidRDefault="00AA75F2" w:rsidP="00AA75F2">
      <w:pPr>
        <w:pStyle w:val="StandardWeb"/>
        <w:rPr>
          <w:rFonts w:ascii="Times New Roman" w:hAnsi="Times New Roman"/>
          <w:sz w:val="24"/>
        </w:rPr>
      </w:pPr>
      <w:r>
        <w:t>Konstantins Herrschaftszeit bedeutet insofern einen Epochenwechsel, als die Verfolgung des Christentums durch den Staat beendet wird; Konstantin leitet einen Umbau der religiösen Grundlagen des Imperiums ein, der sich von einer anfänglichen Tolerierung des Christentums zu einer immer stärkeren Verankerung auch in den staatlichen Strukturen entwickelt. Die Toleranz gegenüber allen Religionen umfasst weitgehend auch das Judentum.</w:t>
      </w:r>
    </w:p>
    <w:p w14:paraId="75A69B4A" w14:textId="77777777" w:rsidR="00AA75F2" w:rsidRPr="008B2931" w:rsidRDefault="00AA75F2" w:rsidP="00AA75F2">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t>Politische Entwicklung und Bürgerkriege</w:t>
      </w:r>
    </w:p>
    <w:p w14:paraId="13A05E5F" w14:textId="77777777" w:rsidR="00AA75F2" w:rsidRDefault="00AA75F2" w:rsidP="00AA75F2">
      <w:pPr>
        <w:pStyle w:val="berschrift4"/>
        <w:rPr>
          <w:rFonts w:ascii="Liberation Serif" w:hAnsi="Liberation Serif" w:cs="Liberation Serif"/>
        </w:rPr>
      </w:pPr>
      <w:bookmarkStart w:id="8" w:name="konstantinlinks"/>
      <w:bookmarkEnd w:id="8"/>
      <w:r>
        <w:rPr>
          <w:rFonts w:ascii="Liberation Serif" w:hAnsi="Liberation Serif" w:cs="Liberation Serif"/>
        </w:rPr>
        <w:t>Kaiserherrschaft Konstantins</w:t>
      </w:r>
    </w:p>
    <w:p w14:paraId="0A5118FD" w14:textId="77777777" w:rsidR="00AA75F2" w:rsidRDefault="00AA75F2" w:rsidP="00AA75F2">
      <w:pPr>
        <w:pStyle w:val="StandardWeb"/>
        <w:rPr>
          <w:rFonts w:ascii="Times New Roman" w:hAnsi="Times New Roman"/>
        </w:rPr>
      </w:pPr>
      <w:r>
        <w:t>305 – 337 n. Chr.</w:t>
      </w:r>
    </w:p>
    <w:p w14:paraId="64385768" w14:textId="77777777" w:rsidR="00AA75F2" w:rsidRDefault="00AA75F2" w:rsidP="00AA75F2">
      <w:pPr>
        <w:pStyle w:val="StandardWeb"/>
      </w:pPr>
      <w:r>
        <w:t>Lebensdaten Konstantins: ca. 270 – 337 n. Chr.</w:t>
      </w:r>
    </w:p>
    <w:p w14:paraId="607E2525" w14:textId="77777777" w:rsidR="00AA75F2" w:rsidRDefault="00AA75F2" w:rsidP="00AA75F2">
      <w:pPr>
        <w:pStyle w:val="StandardWeb"/>
      </w:pPr>
      <w:r>
        <w:t>Im Jahr 305 wird Constantinus, der Sohn des Constantius I., vom Heer zum Kaiser ausgerufen. Nach und nach gewinnt er die Vorherrschaft über seine Mitregenten; der komplizierte Weg zur Macht und die Frage der Rechtmäßigkeit seiner Ansprüche können hier nicht dargestellt werden.</w:t>
      </w:r>
    </w:p>
    <w:p w14:paraId="6263D9A7" w14:textId="77777777" w:rsidR="00AA75F2" w:rsidRDefault="00AA75F2" w:rsidP="00AA75F2">
      <w:pPr>
        <w:pStyle w:val="StandardWeb"/>
      </w:pPr>
      <w:r>
        <w:t>Linkempfehlungen zu Konstantin:</w:t>
      </w:r>
    </w:p>
    <w:p w14:paraId="2BA1B403" w14:textId="77777777" w:rsidR="00AA75F2" w:rsidRDefault="00AA75F2" w:rsidP="00AA75F2">
      <w:pPr>
        <w:pStyle w:val="StandardWeb"/>
        <w:numPr>
          <w:ilvl w:val="0"/>
          <w:numId w:val="38"/>
        </w:numPr>
        <w:spacing w:before="100" w:beforeAutospacing="1" w:after="0"/>
      </w:pPr>
      <w:r>
        <w:t xml:space="preserve">Artikel über Konstantin beim </w:t>
      </w:r>
      <w:hyperlink r:id="rId23" w:history="1">
        <w:r>
          <w:rPr>
            <w:rStyle w:val="Hyperlink"/>
          </w:rPr>
          <w:t>Portal Rheinische Geschichte</w:t>
        </w:r>
      </w:hyperlink>
      <w:r>
        <w:t xml:space="preserve"> (Autor: Oliver Schmitt) </w:t>
      </w:r>
    </w:p>
    <w:p w14:paraId="7583907B" w14:textId="77777777" w:rsidR="00AA75F2" w:rsidRDefault="00AA75F2" w:rsidP="00AA75F2">
      <w:pPr>
        <w:pStyle w:val="StandardWeb"/>
        <w:numPr>
          <w:ilvl w:val="0"/>
          <w:numId w:val="38"/>
        </w:numPr>
        <w:spacing w:before="100" w:beforeAutospacing="1" w:after="0"/>
      </w:pPr>
      <w:r>
        <w:t xml:space="preserve">Artikel über Konstantin in der </w:t>
      </w:r>
      <w:hyperlink r:id="rId24" w:history="1">
        <w:r>
          <w:rPr>
            <w:rStyle w:val="Hyperlink"/>
          </w:rPr>
          <w:t>Wikipedia</w:t>
        </w:r>
      </w:hyperlink>
      <w:r>
        <w:t xml:space="preserve"> (sehr umfangreich) </w:t>
      </w:r>
    </w:p>
    <w:p w14:paraId="534AC421" w14:textId="77777777" w:rsidR="00AA75F2" w:rsidRDefault="00AA75F2" w:rsidP="00AA75F2">
      <w:pPr>
        <w:pStyle w:val="StandardWeb"/>
        <w:numPr>
          <w:ilvl w:val="0"/>
          <w:numId w:val="38"/>
        </w:numPr>
        <w:spacing w:before="100" w:beforeAutospacing="1" w:after="0"/>
      </w:pPr>
      <w:hyperlink r:id="rId25" w:history="1">
        <w:r>
          <w:rPr>
            <w:rStyle w:val="Hyperlink"/>
          </w:rPr>
          <w:t>Planet Wissen</w:t>
        </w:r>
      </w:hyperlink>
      <w:r>
        <w:t xml:space="preserve"> über Konstantin </w:t>
      </w:r>
    </w:p>
    <w:p w14:paraId="76531328" w14:textId="77777777" w:rsidR="00AA75F2" w:rsidRDefault="00AA75F2" w:rsidP="00AA75F2">
      <w:pPr>
        <w:pStyle w:val="StandardWeb"/>
        <w:numPr>
          <w:ilvl w:val="0"/>
          <w:numId w:val="38"/>
        </w:numPr>
        <w:spacing w:before="100" w:beforeAutospacing="1" w:after="0"/>
      </w:pPr>
      <w:r>
        <w:t xml:space="preserve">Artikel über Konstantin auf </w:t>
      </w:r>
      <w:hyperlink r:id="rId26" w:history="1">
        <w:r>
          <w:rPr>
            <w:rStyle w:val="Hyperlink"/>
          </w:rPr>
          <w:t>wissen.de</w:t>
        </w:r>
      </w:hyperlink>
      <w:r>
        <w:t xml:space="preserve"> </w:t>
      </w:r>
    </w:p>
    <w:p w14:paraId="6C12D852" w14:textId="77777777" w:rsidR="00AA75F2" w:rsidRDefault="00AA75F2" w:rsidP="00AA75F2">
      <w:pPr>
        <w:pStyle w:val="StandardWeb"/>
        <w:numPr>
          <w:ilvl w:val="0"/>
          <w:numId w:val="38"/>
        </w:numPr>
        <w:spacing w:before="100" w:beforeAutospacing="1" w:after="142"/>
      </w:pPr>
      <w:r>
        <w:t xml:space="preserve">Saal des Konstantin in den </w:t>
      </w:r>
      <w:hyperlink r:id="rId27" w:history="1">
        <w:r>
          <w:rPr>
            <w:rStyle w:val="Hyperlink"/>
          </w:rPr>
          <w:t>Vatikanischen Museen</w:t>
        </w:r>
      </w:hyperlink>
      <w:r>
        <w:t xml:space="preserve">, mit Gemälden zu Episoden aus dem Leben Konstantins </w:t>
      </w:r>
    </w:p>
    <w:p w14:paraId="2A01A61F" w14:textId="77777777" w:rsidR="00AA75F2" w:rsidRDefault="00AA75F2" w:rsidP="00AA75F2">
      <w:pPr>
        <w:pStyle w:val="StandardWeb"/>
      </w:pPr>
      <w:r>
        <w:t>Zu Konstantins Herrschaft und Religionspolitik siehe auch die Einträge auf den folgenden Seiten.</w:t>
      </w:r>
    </w:p>
    <w:p w14:paraId="1C4EAF22" w14:textId="77777777" w:rsidR="00AA75F2" w:rsidRDefault="00AA75F2" w:rsidP="00AA75F2">
      <w:pPr>
        <w:pStyle w:val="berschrift4"/>
        <w:pageBreakBefore/>
        <w:rPr>
          <w:rFonts w:ascii="Liberation Serif" w:hAnsi="Liberation Serif" w:cs="Liberation Serif"/>
        </w:rPr>
      </w:pPr>
      <w:bookmarkStart w:id="9" w:name="milvischebruecke"/>
      <w:bookmarkEnd w:id="9"/>
      <w:r>
        <w:rPr>
          <w:rFonts w:ascii="Liberation Serif" w:hAnsi="Liberation Serif" w:cs="Liberation Serif"/>
        </w:rPr>
        <w:lastRenderedPageBreak/>
        <w:t xml:space="preserve">Sieg Konstantins an der </w:t>
      </w:r>
      <w:proofErr w:type="spellStart"/>
      <w:r>
        <w:rPr>
          <w:rFonts w:ascii="Liberation Serif" w:hAnsi="Liberation Serif" w:cs="Liberation Serif"/>
        </w:rPr>
        <w:t>Milvischen</w:t>
      </w:r>
      <w:proofErr w:type="spellEnd"/>
      <w:r>
        <w:rPr>
          <w:rFonts w:ascii="Liberation Serif" w:hAnsi="Liberation Serif" w:cs="Liberation Serif"/>
        </w:rPr>
        <w:t xml:space="preserve"> Brücke</w:t>
      </w:r>
    </w:p>
    <w:p w14:paraId="11A163DA" w14:textId="77777777" w:rsidR="00AA75F2" w:rsidRDefault="00AA75F2" w:rsidP="00AA75F2">
      <w:pPr>
        <w:pStyle w:val="StandardWeb"/>
        <w:rPr>
          <w:rFonts w:ascii="Times New Roman" w:hAnsi="Times New Roman"/>
        </w:rPr>
      </w:pPr>
      <w:r>
        <w:t>312 n. Chr.</w:t>
      </w:r>
    </w:p>
    <w:p w14:paraId="77805405" w14:textId="77777777" w:rsidR="00AA75F2" w:rsidRDefault="00AA75F2" w:rsidP="00AA75F2">
      <w:pPr>
        <w:pStyle w:val="StandardWeb"/>
      </w:pPr>
      <w:r>
        <w:t xml:space="preserve">In einer Schlacht an einer </w:t>
      </w:r>
      <w:proofErr w:type="spellStart"/>
      <w:r>
        <w:t>Tiberbrücke</w:t>
      </w:r>
      <w:proofErr w:type="spellEnd"/>
      <w:r>
        <w:t xml:space="preserve"> in Rom, der </w:t>
      </w:r>
      <w:proofErr w:type="spellStart"/>
      <w:r>
        <w:t>Milvischen</w:t>
      </w:r>
      <w:proofErr w:type="spellEnd"/>
      <w:r>
        <w:t xml:space="preserve"> Brücke, besiegt Konstantin den </w:t>
      </w:r>
      <w:proofErr w:type="spellStart"/>
      <w:r>
        <w:t>Maxentius</w:t>
      </w:r>
      <w:proofErr w:type="spellEnd"/>
      <w:r>
        <w:t xml:space="preserve">, einen Sohn des Maximin (siehe den Eintrag zu </w:t>
      </w:r>
      <w:hyperlink w:anchor="diokletian" w:history="1">
        <w:r>
          <w:rPr>
            <w:rStyle w:val="Hyperlink"/>
          </w:rPr>
          <w:t>↑ Diokletian ↑</w:t>
        </w:r>
      </w:hyperlink>
      <w:r>
        <w:t xml:space="preserve">). Damit hat Constantin seinen größten Rivalen im Kampf um die Vorherrschaft im Imperium überwunden. Der Schriftsteller </w:t>
      </w:r>
      <w:proofErr w:type="spellStart"/>
      <w:r>
        <w:t>Laktanz</w:t>
      </w:r>
      <w:proofErr w:type="spellEnd"/>
      <w:r>
        <w:t>, der ein Lehrer Constantins war, berichtet, Konstantin habe vor der Schlacht im Traum von Jesus den Auftrag bekommen, vor der Schlacht ein christliches Symbol auf die Schilde der Soldaten malen zu lassen.</w:t>
      </w:r>
    </w:p>
    <w:p w14:paraId="11243C01" w14:textId="77777777" w:rsidR="00AA75F2" w:rsidRDefault="00AA75F2" w:rsidP="00AA75F2">
      <w:pPr>
        <w:pStyle w:val="berschrift4"/>
        <w:rPr>
          <w:rFonts w:ascii="Liberation Serif" w:hAnsi="Liberation Serif" w:cs="Liberation Serif"/>
        </w:rPr>
      </w:pPr>
      <w:r>
        <w:rPr>
          <w:rFonts w:ascii="Liberation Serif" w:hAnsi="Liberation Serif" w:cs="Liberation Serif"/>
        </w:rPr>
        <w:t>Sieg Konstantins über Licinius; Verwandtenmorde</w:t>
      </w:r>
    </w:p>
    <w:p w14:paraId="361EB354" w14:textId="77777777" w:rsidR="00AA75F2" w:rsidRDefault="00AA75F2" w:rsidP="00AA75F2">
      <w:pPr>
        <w:pStyle w:val="StandardWeb"/>
        <w:rPr>
          <w:rFonts w:ascii="Times New Roman" w:hAnsi="Times New Roman"/>
        </w:rPr>
      </w:pPr>
      <w:r>
        <w:t>324 n. Chr.</w:t>
      </w:r>
    </w:p>
    <w:p w14:paraId="52D2637F" w14:textId="77777777" w:rsidR="00AA75F2" w:rsidRDefault="00AA75F2" w:rsidP="00AA75F2">
      <w:pPr>
        <w:pStyle w:val="StandardWeb"/>
      </w:pPr>
      <w:r>
        <w:t xml:space="preserve">Konstantin besiegt seinen Mitkaiser Licinius und beendet damit das System der Doppelkaisertums. Er beteiligt aber seine Söhne an der Macht; insofern bleibt die von </w:t>
      </w:r>
      <w:hyperlink w:anchor="diokletian" w:history="1">
        <w:r>
          <w:rPr>
            <w:rStyle w:val="Hyperlink"/>
          </w:rPr>
          <w:t>↑ Dio</w:t>
        </w:r>
        <w:r>
          <w:rPr>
            <w:rStyle w:val="Hyperlink"/>
          </w:rPr>
          <w:t>k</w:t>
        </w:r>
        <w:r>
          <w:rPr>
            <w:rStyle w:val="Hyperlink"/>
          </w:rPr>
          <w:t>letian ↑</w:t>
        </w:r>
      </w:hyperlink>
      <w:r>
        <w:t xml:space="preserve"> eingeführte Idee, dass das Reich von mehreren Herrschern gelenkt werden soll, weiter intakt. Auch spätere Kaiser bedienen sich dieses Systems.</w:t>
      </w:r>
      <w:r>
        <w:br/>
        <w:t xml:space="preserve">Im Jahr 326 n. Chr. lässt Konstantin seine Frau </w:t>
      </w:r>
      <w:proofErr w:type="spellStart"/>
      <w:r>
        <w:t>Fausta</w:t>
      </w:r>
      <w:proofErr w:type="spellEnd"/>
      <w:r>
        <w:t xml:space="preserve"> und </w:t>
      </w:r>
      <w:proofErr w:type="spellStart"/>
      <w:r>
        <w:t>Crispus</w:t>
      </w:r>
      <w:proofErr w:type="spellEnd"/>
      <w:r>
        <w:t>, einen seiner Söhne ermorden.</w:t>
      </w:r>
    </w:p>
    <w:p w14:paraId="6C3FF200" w14:textId="77777777" w:rsidR="00AA75F2" w:rsidRDefault="00AA75F2" w:rsidP="00AA75F2">
      <w:pPr>
        <w:pStyle w:val="StandardWeb"/>
      </w:pPr>
      <w:r>
        <w:t>Konstantin verlegt den Regierungssitz nach Byzanz, das später in Konstantinopel umbenannt wird.</w:t>
      </w:r>
    </w:p>
    <w:p w14:paraId="6C33D54C" w14:textId="77777777" w:rsidR="00AA75F2" w:rsidRDefault="00AA75F2" w:rsidP="00AA75F2">
      <w:pPr>
        <w:pStyle w:val="berschrift4"/>
        <w:rPr>
          <w:rFonts w:ascii="Liberation Serif" w:hAnsi="Liberation Serif" w:cs="Liberation Serif"/>
        </w:rPr>
      </w:pPr>
      <w:r>
        <w:rPr>
          <w:rFonts w:ascii="Liberation Serif" w:hAnsi="Liberation Serif" w:cs="Liberation Serif"/>
        </w:rPr>
        <w:t>Herrschaft der Söhne Konstantins und des Kaisers Julian</w:t>
      </w:r>
    </w:p>
    <w:p w14:paraId="1B8AA2A6" w14:textId="77777777" w:rsidR="00AA75F2" w:rsidRDefault="00AA75F2" w:rsidP="00AA75F2">
      <w:pPr>
        <w:pStyle w:val="StandardWeb"/>
        <w:rPr>
          <w:rFonts w:ascii="Times New Roman" w:hAnsi="Times New Roman"/>
        </w:rPr>
      </w:pPr>
      <w:r>
        <w:t>337 – 363 n. Chr.</w:t>
      </w:r>
    </w:p>
    <w:p w14:paraId="308E6C48" w14:textId="77777777" w:rsidR="00AA75F2" w:rsidRDefault="00AA75F2" w:rsidP="00AA75F2">
      <w:pPr>
        <w:pStyle w:val="StandardWeb"/>
      </w:pPr>
      <w:r>
        <w:t xml:space="preserve">Nach Konstantins Tod brechen Unruhen aus; seine Söhne Constantinus, Constantius und </w:t>
      </w:r>
      <w:proofErr w:type="spellStart"/>
      <w:r>
        <w:t>Constans</w:t>
      </w:r>
      <w:proofErr w:type="spellEnd"/>
      <w:r>
        <w:t xml:space="preserve"> herrschen in der Folge. Um das Jahr 360 n. Chr. kommt Konstantins Neffe </w:t>
      </w:r>
      <w:proofErr w:type="spellStart"/>
      <w:r>
        <w:t>Julianus</w:t>
      </w:r>
      <w:proofErr w:type="spellEnd"/>
      <w:r>
        <w:t xml:space="preserve"> an die Macht, der versucht, das Christentum zurückzudrängen und die pagane Religion (das „Heidentum“) wieder einzusetzen.</w:t>
      </w:r>
    </w:p>
    <w:p w14:paraId="62DCE5EA" w14:textId="77777777" w:rsidR="00AA75F2" w:rsidRPr="008B2931" w:rsidRDefault="00AA75F2" w:rsidP="00AA75F2">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t>Philosophie, Religion und Literatur</w:t>
      </w:r>
    </w:p>
    <w:p w14:paraId="4F6D2117" w14:textId="77777777" w:rsidR="00AA75F2" w:rsidRDefault="00AA75F2" w:rsidP="00AA75F2">
      <w:pPr>
        <w:pStyle w:val="berschrift4"/>
        <w:rPr>
          <w:rFonts w:ascii="Liberation Serif" w:hAnsi="Liberation Serif" w:cs="Liberation Serif"/>
        </w:rPr>
      </w:pPr>
      <w:bookmarkStart w:id="10" w:name="galienustoleranz"/>
      <w:bookmarkEnd w:id="10"/>
      <w:r>
        <w:rPr>
          <w:rFonts w:ascii="Liberation Serif" w:hAnsi="Liberation Serif" w:cs="Liberation Serif"/>
        </w:rPr>
        <w:t xml:space="preserve">Toleranzedikt des </w:t>
      </w:r>
      <w:proofErr w:type="spellStart"/>
      <w:r>
        <w:rPr>
          <w:rFonts w:ascii="Liberation Serif" w:hAnsi="Liberation Serif" w:cs="Liberation Serif"/>
        </w:rPr>
        <w:t>Galienus</w:t>
      </w:r>
      <w:proofErr w:type="spellEnd"/>
    </w:p>
    <w:p w14:paraId="289B5C74" w14:textId="77777777" w:rsidR="00AA75F2" w:rsidRDefault="00AA75F2" w:rsidP="00AA75F2">
      <w:pPr>
        <w:pStyle w:val="StandardWeb"/>
        <w:rPr>
          <w:rFonts w:ascii="Times New Roman" w:hAnsi="Times New Roman"/>
        </w:rPr>
      </w:pPr>
      <w:r>
        <w:t>311 n. Chr.</w:t>
      </w:r>
    </w:p>
    <w:p w14:paraId="27C93D09" w14:textId="67FDEDC2" w:rsidR="00AA75F2" w:rsidRDefault="00AA75F2" w:rsidP="00AA75F2">
      <w:pPr>
        <w:pStyle w:val="StandardWeb"/>
        <w:rPr>
          <w:rFonts w:ascii="Liberation Serif" w:hAnsi="Liberation Serif" w:cs="Liberation Serif"/>
        </w:rPr>
      </w:pPr>
      <w:r>
        <w:t xml:space="preserve">Kurz vor seinem Tod erlässt der Kaiser </w:t>
      </w:r>
      <w:proofErr w:type="spellStart"/>
      <w:r>
        <w:t>Galienus</w:t>
      </w:r>
      <w:proofErr w:type="spellEnd"/>
      <w:r>
        <w:t xml:space="preserve"> ein Edikt, nach dem die Christen nicht mehr verfolgt werden dürfen. Es ist u. a. in einer Schrift des christlichen Schriftstellers </w:t>
      </w:r>
      <w:hyperlink w:anchor="laktanz" w:history="1">
        <w:r>
          <w:rPr>
            <w:rStyle w:val="Hyperlink"/>
          </w:rPr>
          <w:t xml:space="preserve">↑ </w:t>
        </w:r>
        <w:proofErr w:type="spellStart"/>
        <w:r>
          <w:rPr>
            <w:rStyle w:val="Hyperlink"/>
          </w:rPr>
          <w:t>Laktanz</w:t>
        </w:r>
        <w:proofErr w:type="spellEnd"/>
        <w:r>
          <w:rPr>
            <w:rStyle w:val="Hyperlink"/>
          </w:rPr>
          <w:t xml:space="preserve"> ↑</w:t>
        </w:r>
      </w:hyperlink>
      <w:r>
        <w:t xml:space="preserve"> enthalten.</w:t>
      </w:r>
      <w:r>
        <w:rPr>
          <w:rStyle w:val="Funotenzeichen"/>
        </w:rPr>
        <w:footnoteReference w:id="1"/>
      </w:r>
      <w:r>
        <w:t xml:space="preserve"> </w:t>
      </w:r>
      <w:bookmarkStart w:id="11" w:name="mailaendervereinbarung"/>
      <w:bookmarkEnd w:id="11"/>
    </w:p>
    <w:p w14:paraId="6E373DD6" w14:textId="77777777" w:rsidR="00AA75F2" w:rsidRDefault="00AA75F2" w:rsidP="00AA75F2">
      <w:pPr>
        <w:pStyle w:val="berschrift4"/>
        <w:pageBreakBefore/>
        <w:rPr>
          <w:rFonts w:ascii="Liberation Serif" w:hAnsi="Liberation Serif" w:cs="Liberation Serif"/>
        </w:rPr>
      </w:pPr>
      <w:r>
        <w:rPr>
          <w:rFonts w:ascii="Liberation Serif" w:hAnsi="Liberation Serif" w:cs="Liberation Serif"/>
        </w:rPr>
        <w:lastRenderedPageBreak/>
        <w:t>Mailänder Vereinbarung oder Mailänder Toleranzedikt</w:t>
      </w:r>
    </w:p>
    <w:p w14:paraId="584C2417" w14:textId="77777777" w:rsidR="00AA75F2" w:rsidRDefault="00AA75F2" w:rsidP="00AA75F2">
      <w:pPr>
        <w:pStyle w:val="StandardWeb"/>
        <w:rPr>
          <w:rFonts w:ascii="Times New Roman" w:hAnsi="Times New Roman"/>
        </w:rPr>
      </w:pPr>
      <w:r>
        <w:t>313 n. Chr.</w:t>
      </w:r>
    </w:p>
    <w:p w14:paraId="7C116F2D" w14:textId="0F77B570" w:rsidR="00AA75F2" w:rsidRDefault="00AA75F2" w:rsidP="00AA75F2">
      <w:pPr>
        <w:pStyle w:val="StandardWeb"/>
      </w:pPr>
      <w:r>
        <w:t xml:space="preserve">Das Toleranzedikt des </w:t>
      </w:r>
      <w:proofErr w:type="spellStart"/>
      <w:r>
        <w:t>Galienus</w:t>
      </w:r>
      <w:proofErr w:type="spellEnd"/>
      <w:r>
        <w:t xml:space="preserve"> (siehe vorigen Eintrag) wird weiter ausgebaut, und zwar in einer Vereinbarung zwischen den Kaisern </w:t>
      </w:r>
      <w:proofErr w:type="spellStart"/>
      <w:r>
        <w:t>Licinus</w:t>
      </w:r>
      <w:proofErr w:type="spellEnd"/>
      <w:r>
        <w:t xml:space="preserve"> und Konstantin. Den Text dieser Vereinbarung oder des Edikts (Erlasses) findet man bei den Kirchenschriftstellern Eusebius und </w:t>
      </w:r>
      <w:proofErr w:type="spellStart"/>
      <w:r>
        <w:t>Laktanz</w:t>
      </w:r>
      <w:proofErr w:type="spellEnd"/>
      <w:r>
        <w:t>. Wie dieser Text auszulegen ist, das ist in der Forschung umstritten: Es herrscht nicht einmal Einigkeit darüber, ob es sich um ein Edikt (also einen Erlass mit Gesetzeskraft) oder um ein Informationsschreiben handelt und ob das Treffen in Mailand zwischen Konstantin und Licinius überhaupt stattgefunden hat.</w:t>
      </w:r>
      <w:r>
        <w:rPr>
          <w:rStyle w:val="Funotenzeichen"/>
        </w:rPr>
        <w:footnoteReference w:id="2"/>
      </w:r>
      <w:r>
        <w:t xml:space="preserve"> </w:t>
      </w:r>
    </w:p>
    <w:p w14:paraId="43E315F9" w14:textId="77777777" w:rsidR="00AA75F2" w:rsidRDefault="00AA75F2" w:rsidP="00AA75F2">
      <w:pPr>
        <w:pStyle w:val="StandardWeb"/>
      </w:pPr>
      <w:r>
        <w:t xml:space="preserve">Erst im Jahr </w:t>
      </w:r>
      <w:hyperlink w:anchor="christentumstaatsreligion" w:history="1">
        <w:r>
          <w:rPr>
            <w:rStyle w:val="Hyperlink"/>
          </w:rPr>
          <w:t>↓ 3</w:t>
        </w:r>
        <w:r>
          <w:rPr>
            <w:rStyle w:val="Hyperlink"/>
          </w:rPr>
          <w:t>8</w:t>
        </w:r>
        <w:r>
          <w:rPr>
            <w:rStyle w:val="Hyperlink"/>
          </w:rPr>
          <w:t>0 ↓</w:t>
        </w:r>
      </w:hyperlink>
      <w:r>
        <w:t xml:space="preserve"> wird das Christentum zur Staatsreligion erklärt.</w:t>
      </w:r>
    </w:p>
    <w:p w14:paraId="79CEB869" w14:textId="77777777" w:rsidR="00AA75F2" w:rsidRDefault="00AA75F2" w:rsidP="00AA75F2">
      <w:pPr>
        <w:pStyle w:val="berschrift4"/>
        <w:rPr>
          <w:rFonts w:ascii="Liberation Serif" w:hAnsi="Liberation Serif" w:cs="Liberation Serif"/>
        </w:rPr>
      </w:pPr>
      <w:r>
        <w:rPr>
          <w:rFonts w:ascii="Liberation Serif" w:hAnsi="Liberation Serif" w:cs="Liberation Serif"/>
        </w:rPr>
        <w:t>Konstantin öffnet den Juden Kölns den Zugang zum Stadtrat</w:t>
      </w:r>
    </w:p>
    <w:p w14:paraId="0A8594E0" w14:textId="77777777" w:rsidR="00AA75F2" w:rsidRDefault="00AA75F2" w:rsidP="00AA75F2">
      <w:pPr>
        <w:pStyle w:val="StandardWeb"/>
        <w:rPr>
          <w:rFonts w:ascii="Times New Roman" w:hAnsi="Times New Roman"/>
        </w:rPr>
      </w:pPr>
      <w:r>
        <w:t>321 n. Chr.</w:t>
      </w:r>
    </w:p>
    <w:p w14:paraId="41AD0B40" w14:textId="77777777" w:rsidR="00AA75F2" w:rsidRDefault="00AA75F2" w:rsidP="00AA75F2">
      <w:pPr>
        <w:pStyle w:val="StandardWeb"/>
      </w:pPr>
      <w:r>
        <w:t>In einem Erlass Kaiser Konstantins, der auf das Jahr 321 datiert werden kann, wird zum ersten Mal eine jüdische Gemeinde im Gebiet der germanischen Provinzen erwähnt. Vor dieser Zeit gibt es kein nachweisbares Zeugnis für die Existenz jüdischer Gemeinden im Gebiet des heutigen Deutschland. Dieser Erlass ist daher Anlass für Feierlichkeiten im Jahr 2021 unter dem Titel „1700 Jahre jüdisches Leben in Deutschland“.</w:t>
      </w:r>
    </w:p>
    <w:p w14:paraId="269560BB" w14:textId="77777777" w:rsidR="00AA75F2" w:rsidRDefault="00AA75F2" w:rsidP="00AA75F2">
      <w:pPr>
        <w:pStyle w:val="StandardWeb"/>
      </w:pPr>
      <w:r>
        <w:t>Zur Lerneinheit und zu weiteren Informationen über dieses Jubiläum:</w:t>
      </w:r>
    </w:p>
    <w:p w14:paraId="4BACAE8A" w14:textId="77777777" w:rsidR="00AA75F2" w:rsidRDefault="00AA75F2" w:rsidP="00AA75F2">
      <w:pPr>
        <w:pStyle w:val="StandardWeb"/>
        <w:numPr>
          <w:ilvl w:val="0"/>
          <w:numId w:val="39"/>
        </w:numPr>
        <w:spacing w:before="100" w:beforeAutospacing="1" w:after="0"/>
      </w:pPr>
      <w:r>
        <w:t xml:space="preserve">Informationsseite über das Jubiläum: </w:t>
      </w:r>
      <w:hyperlink r:id="rId28" w:history="1">
        <w:r>
          <w:rPr>
            <w:rStyle w:val="Hyperlink"/>
          </w:rPr>
          <w:t>www.schule-bw.d</w:t>
        </w:r>
        <w:r>
          <w:rPr>
            <w:rStyle w:val="Hyperlink"/>
          </w:rPr>
          <w:t>e</w:t>
        </w:r>
        <w:r>
          <w:rPr>
            <w:rStyle w:val="Hyperlink"/>
          </w:rPr>
          <w:t>/1700jahre</w:t>
        </w:r>
      </w:hyperlink>
      <w:r>
        <w:t xml:space="preserve">, mit dem Film „Jung und jüdisch in Baden-Württemberg“ und Unterrichtsmodulen „Jüdisches Leben in Baden-Württemberg“ (Portal Landeskunde) </w:t>
      </w:r>
    </w:p>
    <w:p w14:paraId="3AB0BE59" w14:textId="77777777" w:rsidR="00AA75F2" w:rsidRDefault="00AA75F2" w:rsidP="00AA75F2">
      <w:pPr>
        <w:pStyle w:val="StandardWeb"/>
        <w:numPr>
          <w:ilvl w:val="0"/>
          <w:numId w:val="39"/>
        </w:numPr>
        <w:spacing w:before="100" w:beforeAutospacing="1" w:after="142"/>
      </w:pPr>
      <w:r>
        <w:t xml:space="preserve">Der Text des Erlasses aus dem Jahr 321 und Vorschlag für eine Unterrichtseinheit </w:t>
      </w:r>
      <w:hyperlink r:id="rId29" w:history="1">
        <w:r>
          <w:rPr>
            <w:rStyle w:val="Hyperlink"/>
          </w:rPr>
          <w:t>Jüdisches Leben im römischen Reich</w:t>
        </w:r>
      </w:hyperlink>
      <w:r>
        <w:t xml:space="preserve"> </w:t>
      </w:r>
    </w:p>
    <w:p w14:paraId="29832A7C" w14:textId="77777777" w:rsidR="00AA75F2" w:rsidRDefault="00AA75F2" w:rsidP="00AA75F2">
      <w:pPr>
        <w:pStyle w:val="berschrift4"/>
        <w:rPr>
          <w:rFonts w:ascii="Liberation Serif" w:hAnsi="Liberation Serif" w:cs="Liberation Serif"/>
        </w:rPr>
      </w:pPr>
      <w:r>
        <w:rPr>
          <w:rFonts w:ascii="Liberation Serif" w:hAnsi="Liberation Serif" w:cs="Liberation Serif"/>
        </w:rPr>
        <w:t>Konzil von Nicäa</w:t>
      </w:r>
    </w:p>
    <w:p w14:paraId="28019BD5" w14:textId="77777777" w:rsidR="00AA75F2" w:rsidRDefault="00AA75F2" w:rsidP="00AA75F2">
      <w:pPr>
        <w:pStyle w:val="StandardWeb"/>
        <w:rPr>
          <w:rFonts w:ascii="Times New Roman" w:hAnsi="Times New Roman"/>
        </w:rPr>
      </w:pPr>
      <w:r>
        <w:t>325 n. Chr.</w:t>
      </w:r>
    </w:p>
    <w:p w14:paraId="60C40A7A" w14:textId="77777777" w:rsidR="00AA75F2" w:rsidRDefault="00AA75F2" w:rsidP="00AA75F2">
      <w:pPr>
        <w:pStyle w:val="StandardWeb"/>
      </w:pPr>
      <w:r>
        <w:t>Auf dem Konzil von Nicäa beschließt die Mehrheit der christlichen Kirche, dass Jesus als Gott anzusehen ist und dass damit die Idee der Dreieinigkeit verpflichtende Lehre der Kirche sein soll. Damit hat der Konflikt mit den Arianern, die lehrten, dass Jesus kein Gott, sondern nur Mensch war, ein Ende gefunden. Die Arianer werden gewaltsam bekämpft.</w:t>
      </w:r>
    </w:p>
    <w:p w14:paraId="5BD2CAD4" w14:textId="77777777" w:rsidR="00AA75F2" w:rsidRDefault="00AA75F2" w:rsidP="00AA75F2">
      <w:pPr>
        <w:pStyle w:val="StandardWeb"/>
      </w:pPr>
      <w:r>
        <w:t xml:space="preserve">Linkempfehlung: </w:t>
      </w:r>
      <w:hyperlink r:id="rId30" w:history="1">
        <w:r>
          <w:rPr>
            <w:rStyle w:val="Hyperlink"/>
          </w:rPr>
          <w:t>Wikipedia</w:t>
        </w:r>
      </w:hyperlink>
      <w:r>
        <w:t xml:space="preserve"> über das Konzil Nicäa</w:t>
      </w:r>
    </w:p>
    <w:p w14:paraId="40BBFF0F" w14:textId="77777777" w:rsidR="00AA75F2" w:rsidRDefault="00AA75F2" w:rsidP="00AA75F2">
      <w:pPr>
        <w:pStyle w:val="berschrift2"/>
        <w:rPr>
          <w:rFonts w:ascii="Liberation Sans" w:hAnsi="Liberation Sans" w:cs="Liberation Sans"/>
          <w:i/>
          <w:iCs/>
          <w:sz w:val="32"/>
          <w:szCs w:val="32"/>
        </w:rPr>
      </w:pPr>
      <w:r>
        <w:rPr>
          <w:rFonts w:ascii="Liberation Sans" w:hAnsi="Liberation Sans" w:cs="Liberation Sans"/>
          <w:i/>
          <w:iCs/>
          <w:sz w:val="32"/>
          <w:szCs w:val="32"/>
        </w:rPr>
        <w:lastRenderedPageBreak/>
        <w:t>Bis zur Eroberung Roms durch die Goten im Jahr 410 n. Chr.</w:t>
      </w:r>
    </w:p>
    <w:p w14:paraId="0734A657" w14:textId="7140087C" w:rsidR="00AA75F2" w:rsidRDefault="00AA75F2" w:rsidP="00AA75F2">
      <w:pPr>
        <w:pStyle w:val="StandardWeb"/>
        <w:rPr>
          <w:rFonts w:ascii="Times New Roman" w:hAnsi="Times New Roman"/>
          <w:sz w:val="24"/>
        </w:rPr>
      </w:pPr>
      <w:r>
        <w:t xml:space="preserve">In der Geschichtswissenschaft ist die Frage umstritten, wie der Wechsel der Epochen von der Antike zum Mittelalter zu verstehen ist. Im Rahmen dieser Geschichtstabelle können hier nur einige unbestrittene Daten genannt werden; wegen des Schwerpunkts dieser Aufstellung auf der lateinischen Literatur werden vor allem die Schriftwerke dieser Zeit genannt. Besonders umstritten ist die Frage, ob man beim Übergang zwischen Antike und Mittelalter von einer </w:t>
      </w:r>
      <w:r>
        <w:rPr>
          <w:rStyle w:val="Hervorhebung"/>
        </w:rPr>
        <w:t>Völkerwanderung</w:t>
      </w:r>
      <w:r>
        <w:t xml:space="preserve"> sprechen kann. Hierzu gibt es eine </w:t>
      </w:r>
      <w:hyperlink r:id="rId31" w:history="1">
        <w:r>
          <w:rPr>
            <w:rStyle w:val="Hyperlink"/>
          </w:rPr>
          <w:t>Lerneinheit i</w:t>
        </w:r>
        <w:r>
          <w:rPr>
            <w:rStyle w:val="Hyperlink"/>
          </w:rPr>
          <w:t>m</w:t>
        </w:r>
        <w:r>
          <w:rPr>
            <w:rStyle w:val="Hyperlink"/>
          </w:rPr>
          <w:t xml:space="preserve"> Geschichtsportal</w:t>
        </w:r>
      </w:hyperlink>
      <w:r>
        <w:t>. Das Bild von der Völkerwanderung hat der Historiker Mischa Meier mit seinem Grundlagenwerk aus dem Jahr 2019 neu bestimmt.</w:t>
      </w:r>
      <w:r w:rsidR="004D5AC9">
        <w:rPr>
          <w:rStyle w:val="Funotenzeichen"/>
        </w:rPr>
        <w:footnoteReference w:id="3"/>
      </w:r>
      <w:r w:rsidR="004D5AC9">
        <w:rPr>
          <w:rFonts w:ascii="Times New Roman" w:hAnsi="Times New Roman"/>
          <w:sz w:val="24"/>
        </w:rPr>
        <w:t xml:space="preserve"> </w:t>
      </w:r>
    </w:p>
    <w:p w14:paraId="09DDFA73" w14:textId="77777777" w:rsidR="00AA75F2" w:rsidRPr="008B2931" w:rsidRDefault="00AA75F2" w:rsidP="008B2931">
      <w:pPr>
        <w:pStyle w:val="berschrift3"/>
        <w:rPr>
          <w:rFonts w:ascii="Liberation Sans" w:hAnsi="Liberation Sans" w:cs="Liberation Sans"/>
          <w:b w:val="0"/>
          <w:bCs w:val="0"/>
          <w:sz w:val="28"/>
          <w:szCs w:val="28"/>
        </w:rPr>
      </w:pPr>
      <w:r w:rsidRPr="008B2931">
        <w:rPr>
          <w:rFonts w:ascii="Liberation Sans" w:hAnsi="Liberation Sans" w:cs="Liberation Sans"/>
          <w:b w:val="0"/>
          <w:bCs w:val="0"/>
          <w:sz w:val="28"/>
          <w:szCs w:val="28"/>
        </w:rPr>
        <w:t>Politische Entwicklung und Konflikte mit anderen Völkern</w:t>
      </w:r>
    </w:p>
    <w:p w14:paraId="23DDD303" w14:textId="77777777" w:rsidR="00AA75F2" w:rsidRDefault="00AA75F2" w:rsidP="00AA75F2">
      <w:pPr>
        <w:pStyle w:val="berschrift4"/>
        <w:rPr>
          <w:rFonts w:ascii="Liberation Serif" w:hAnsi="Liberation Serif" w:cs="Liberation Serif"/>
        </w:rPr>
      </w:pPr>
      <w:bookmarkStart w:id="12" w:name="376"/>
      <w:bookmarkEnd w:id="12"/>
      <w:r>
        <w:rPr>
          <w:rFonts w:ascii="Liberation Serif" w:hAnsi="Liberation Serif" w:cs="Liberation Serif"/>
        </w:rPr>
        <w:t>Wanderungsbewegungen der Hunnen; die Goten überqueren die Donau.</w:t>
      </w:r>
    </w:p>
    <w:p w14:paraId="0FF4EDA3" w14:textId="77777777" w:rsidR="00AA75F2" w:rsidRDefault="00AA75F2" w:rsidP="00AA75F2">
      <w:pPr>
        <w:pStyle w:val="StandardWeb"/>
        <w:rPr>
          <w:rFonts w:ascii="Times New Roman" w:hAnsi="Times New Roman"/>
        </w:rPr>
      </w:pPr>
      <w:r>
        <w:t>375/376 n. Chr.</w:t>
      </w:r>
    </w:p>
    <w:p w14:paraId="424D4DFF" w14:textId="77777777" w:rsidR="00AA75F2" w:rsidRDefault="00AA75F2" w:rsidP="00AA75F2">
      <w:pPr>
        <w:pStyle w:val="StandardWeb"/>
      </w:pPr>
      <w:r>
        <w:t xml:space="preserve">Ein Flüchtlingszug gotischer Stämme, der sich vor Hunnen in Sicherheit bringen will, überquert die Donau, um sich auf römischem Gebiet niederzulassen. Darstellung in einem </w:t>
      </w:r>
      <w:hyperlink r:id="rId32" w:history="1">
        <w:r>
          <w:rPr>
            <w:rStyle w:val="Hyperlink"/>
          </w:rPr>
          <w:t xml:space="preserve">Arbeitsblatt des </w:t>
        </w:r>
      </w:hyperlink>
      <w:hyperlink r:id="rId33" w:tgtFrame="_blank" w:history="1">
        <w:r>
          <w:rPr>
            <w:rStyle w:val="Hyperlink"/>
          </w:rPr>
          <w:t>Geschichtsportals</w:t>
        </w:r>
      </w:hyperlink>
      <w:r>
        <w:t>.</w:t>
      </w:r>
    </w:p>
    <w:p w14:paraId="2AB609ED" w14:textId="77777777" w:rsidR="00AA75F2" w:rsidRDefault="00AA75F2" w:rsidP="00AA75F2">
      <w:pPr>
        <w:pStyle w:val="berschrift4"/>
        <w:rPr>
          <w:rFonts w:ascii="Liberation Serif" w:hAnsi="Liberation Serif" w:cs="Liberation Serif"/>
        </w:rPr>
      </w:pPr>
      <w:r>
        <w:rPr>
          <w:rFonts w:ascii="Liberation Serif" w:hAnsi="Liberation Serif" w:cs="Liberation Serif"/>
        </w:rPr>
        <w:t>Schlacht von Adrianopel</w:t>
      </w:r>
    </w:p>
    <w:p w14:paraId="24A79E38" w14:textId="77777777" w:rsidR="00AA75F2" w:rsidRDefault="00AA75F2" w:rsidP="00AA75F2">
      <w:pPr>
        <w:pStyle w:val="StandardWeb"/>
        <w:rPr>
          <w:rFonts w:ascii="Times New Roman" w:hAnsi="Times New Roman"/>
        </w:rPr>
      </w:pPr>
      <w:r>
        <w:t>378 n. Chr.</w:t>
      </w:r>
    </w:p>
    <w:p w14:paraId="4D6D8B02" w14:textId="77777777" w:rsidR="00AA75F2" w:rsidRDefault="00AA75F2" w:rsidP="00AA75F2">
      <w:pPr>
        <w:pStyle w:val="StandardWeb"/>
      </w:pPr>
      <w:r>
        <w:t>In der Schlacht von Adrianopel (heute Edirne, Türkei) unterliegen die Römer den Goten (</w:t>
      </w:r>
      <w:proofErr w:type="spellStart"/>
      <w:r>
        <w:t>Terwingen</w:t>
      </w:r>
      <w:proofErr w:type="spellEnd"/>
      <w:r>
        <w:t xml:space="preserve">). Kaiser Valens I. fällt in dieser Schlacht. </w:t>
      </w:r>
      <w:hyperlink r:id="rId34" w:history="1">
        <w:r>
          <w:rPr>
            <w:rStyle w:val="Hyperlink"/>
          </w:rPr>
          <w:t>Wikipedia</w:t>
        </w:r>
      </w:hyperlink>
      <w:r>
        <w:t xml:space="preserve"> über diese Schlacht.</w:t>
      </w:r>
    </w:p>
    <w:p w14:paraId="7E7A9C32" w14:textId="77777777" w:rsidR="00AA75F2" w:rsidRDefault="00AA75F2" w:rsidP="00AA75F2">
      <w:pPr>
        <w:pStyle w:val="berschrift4"/>
        <w:rPr>
          <w:rFonts w:ascii="Liberation Serif" w:hAnsi="Liberation Serif" w:cs="Liberation Serif"/>
        </w:rPr>
      </w:pPr>
      <w:bookmarkStart w:id="13" w:name="alarichrom"/>
      <w:bookmarkEnd w:id="13"/>
      <w:r>
        <w:rPr>
          <w:rFonts w:ascii="Liberation Serif" w:hAnsi="Liberation Serif" w:cs="Liberation Serif"/>
        </w:rPr>
        <w:t>Der gotische König Alarich erobert Rom</w:t>
      </w:r>
    </w:p>
    <w:p w14:paraId="40C72D83" w14:textId="77777777" w:rsidR="00AA75F2" w:rsidRDefault="00AA75F2" w:rsidP="00AA75F2">
      <w:pPr>
        <w:pStyle w:val="StandardWeb"/>
        <w:rPr>
          <w:rFonts w:ascii="Times New Roman" w:hAnsi="Times New Roman"/>
        </w:rPr>
      </w:pPr>
      <w:r>
        <w:t>410 n. Chr.</w:t>
      </w:r>
    </w:p>
    <w:p w14:paraId="3429E477" w14:textId="77777777" w:rsidR="00AA75F2" w:rsidRDefault="00AA75F2" w:rsidP="00AA75F2">
      <w:pPr>
        <w:pStyle w:val="StandardWeb"/>
      </w:pPr>
      <w:r>
        <w:t xml:space="preserve">Alarich erreicht mit seiner Familie als Kind im Jahr 376 (siehe oben) das Reichsgebiet. Im Jahr 395 teilt Kaiser Theodosius das Reich unter seine beiden sehr jungen Söhne Honorius und </w:t>
      </w:r>
      <w:proofErr w:type="spellStart"/>
      <w:r>
        <w:t>Arcadius</w:t>
      </w:r>
      <w:proofErr w:type="spellEnd"/>
      <w:r>
        <w:t xml:space="preserve"> (griechisch </w:t>
      </w:r>
      <w:proofErr w:type="spellStart"/>
      <w:r>
        <w:t>Arkadios</w:t>
      </w:r>
      <w:proofErr w:type="spellEnd"/>
      <w:r>
        <w:t xml:space="preserve">) auf. Alarich erlangt als </w:t>
      </w:r>
      <w:proofErr w:type="spellStart"/>
      <w:r>
        <w:rPr>
          <w:rStyle w:val="Hervorhebung"/>
        </w:rPr>
        <w:t>magister</w:t>
      </w:r>
      <w:proofErr w:type="spellEnd"/>
      <w:r>
        <w:rPr>
          <w:rStyle w:val="Hervorhebung"/>
        </w:rPr>
        <w:t xml:space="preserve"> </w:t>
      </w:r>
      <w:proofErr w:type="spellStart"/>
      <w:r>
        <w:rPr>
          <w:rStyle w:val="Hervorhebung"/>
        </w:rPr>
        <w:t>equitum</w:t>
      </w:r>
      <w:proofErr w:type="spellEnd"/>
      <w:r>
        <w:t xml:space="preserve"> im römischen Heer eine hohe Stellung und nutzt Rivalitäten zwischen den einflussreichen Militärs aus; mit einem gotischen Heer zieht er nach Italien und belagert schließlich Rom.</w:t>
      </w:r>
    </w:p>
    <w:p w14:paraId="462E75F5" w14:textId="77777777" w:rsidR="00AA75F2" w:rsidRPr="008B2931" w:rsidRDefault="00AA75F2" w:rsidP="00AA75F2">
      <w:pPr>
        <w:pStyle w:val="berschrift3"/>
        <w:rPr>
          <w:rFonts w:ascii="Liberation Sans" w:hAnsi="Liberation Sans" w:cs="Liberation Sans"/>
          <w:b w:val="0"/>
          <w:bCs w:val="0"/>
          <w:sz w:val="28"/>
          <w:szCs w:val="28"/>
        </w:rPr>
      </w:pPr>
      <w:bookmarkStart w:id="14" w:name="christentumstaatsreligion"/>
      <w:bookmarkEnd w:id="14"/>
      <w:r w:rsidRPr="008B2931">
        <w:rPr>
          <w:rFonts w:ascii="Liberation Sans" w:hAnsi="Liberation Sans" w:cs="Liberation Sans"/>
          <w:b w:val="0"/>
          <w:bCs w:val="0"/>
          <w:sz w:val="28"/>
          <w:szCs w:val="28"/>
        </w:rPr>
        <w:t>Philosophie, Religion und Literatur</w:t>
      </w:r>
    </w:p>
    <w:p w14:paraId="7F7011D7" w14:textId="77777777" w:rsidR="00AA75F2" w:rsidRDefault="00AA75F2" w:rsidP="00AA75F2">
      <w:pPr>
        <w:pStyle w:val="berschrift4"/>
        <w:rPr>
          <w:rFonts w:ascii="Liberation Serif" w:hAnsi="Liberation Serif" w:cs="Liberation Serif"/>
        </w:rPr>
      </w:pPr>
      <w:r>
        <w:rPr>
          <w:rFonts w:ascii="Liberation Serif" w:hAnsi="Liberation Serif" w:cs="Liberation Serif"/>
        </w:rPr>
        <w:t>Kaiser Theodosius I. erklärt das Christentum zur Staatsreligion.</w:t>
      </w:r>
    </w:p>
    <w:p w14:paraId="09695D25" w14:textId="77777777" w:rsidR="00AA75F2" w:rsidRDefault="00AA75F2" w:rsidP="00AA75F2">
      <w:pPr>
        <w:pStyle w:val="StandardWeb"/>
        <w:rPr>
          <w:rFonts w:ascii="Times New Roman" w:hAnsi="Times New Roman"/>
        </w:rPr>
      </w:pPr>
      <w:r>
        <w:t>27. Februar 380 v. Chr.</w:t>
      </w:r>
    </w:p>
    <w:p w14:paraId="2A27079E" w14:textId="77777777" w:rsidR="00AA75F2" w:rsidRDefault="00AA75F2" w:rsidP="00AA75F2">
      <w:pPr>
        <w:pStyle w:val="StandardWeb"/>
      </w:pPr>
      <w:r>
        <w:lastRenderedPageBreak/>
        <w:t>Mit dem Erlass des Kaisers Theodosius I., in dem das Christentum in seiner katholischen Ausprägung zur einzigen legitimen Religion erklärt wird, kommt eine Entwicklung zu einem Abschluss, die mit den ersten christlichen Gemeinden begonnen hatte. Vergleicht man die Erklärung mit dem so genannten Mailänder Edikt, so erkennt man die Umwertung, die in der Beurteilung des christlichen Glaubens stattgefunden hat.</w:t>
      </w:r>
    </w:p>
    <w:p w14:paraId="365C1490" w14:textId="77777777" w:rsidR="00AA75F2" w:rsidRDefault="00AA75F2" w:rsidP="00AA75F2">
      <w:pPr>
        <w:pStyle w:val="StandardWeb"/>
      </w:pPr>
      <w:r>
        <w:t>Linkempfehlungen:</w:t>
      </w:r>
    </w:p>
    <w:p w14:paraId="058D9BD4" w14:textId="77777777" w:rsidR="00AA75F2" w:rsidRDefault="00AA75F2" w:rsidP="00AA75F2">
      <w:pPr>
        <w:pStyle w:val="StandardWeb"/>
        <w:numPr>
          <w:ilvl w:val="0"/>
          <w:numId w:val="40"/>
        </w:numPr>
        <w:spacing w:before="100" w:beforeAutospacing="1" w:after="0"/>
      </w:pPr>
      <w:r>
        <w:t xml:space="preserve">Den Text des Erlasses, eine Übersetzung und Bearbeitungsfragen für den Unterricht findet man auf dem Blog </w:t>
      </w:r>
      <w:hyperlink r:id="rId35" w:history="1">
        <w:proofErr w:type="spellStart"/>
        <w:r>
          <w:rPr>
            <w:rStyle w:val="Hyperlink"/>
          </w:rPr>
          <w:t>Zukunft</w:t>
        </w:r>
        <w:r>
          <w:rPr>
            <w:rStyle w:val="Hyperlink"/>
          </w:rPr>
          <w:t>k</w:t>
        </w:r>
        <w:r>
          <w:rPr>
            <w:rStyle w:val="Hyperlink"/>
          </w:rPr>
          <w:t>irche</w:t>
        </w:r>
        <w:proofErr w:type="spellEnd"/>
      </w:hyperlink>
      <w:r>
        <w:t xml:space="preserve">. </w:t>
      </w:r>
    </w:p>
    <w:p w14:paraId="249FBA62" w14:textId="77777777" w:rsidR="00AA75F2" w:rsidRDefault="00AA75F2" w:rsidP="00AA75F2">
      <w:pPr>
        <w:pStyle w:val="StandardWeb"/>
        <w:numPr>
          <w:ilvl w:val="0"/>
          <w:numId w:val="40"/>
        </w:numPr>
        <w:spacing w:before="100" w:beforeAutospacing="1" w:after="142"/>
      </w:pPr>
      <w:r>
        <w:t xml:space="preserve">Artikel bei der </w:t>
      </w:r>
      <w:r>
        <w:rPr>
          <w:rStyle w:val="Hervorhebung"/>
        </w:rPr>
        <w:t>Deutschen Welle (DW)</w:t>
      </w:r>
      <w:r>
        <w:t xml:space="preserve">, Titel: Christentum wird zur Staatsreligion im Römischen Reich - 27. Februar 380: </w:t>
      </w:r>
      <w:hyperlink r:id="rId36" w:history="1">
        <w:r>
          <w:rPr>
            <w:rStyle w:val="Hyperlink"/>
          </w:rPr>
          <w:t>Deutsche Welle</w:t>
        </w:r>
      </w:hyperlink>
      <w:r>
        <w:t xml:space="preserve"> </w:t>
      </w:r>
    </w:p>
    <w:p w14:paraId="1EBDF514" w14:textId="77777777" w:rsidR="00AA75F2" w:rsidRDefault="00AA75F2" w:rsidP="00AA75F2">
      <w:pPr>
        <w:pStyle w:val="berschrift4"/>
        <w:rPr>
          <w:rFonts w:ascii="Liberation Serif" w:hAnsi="Liberation Serif" w:cs="Liberation Serif"/>
        </w:rPr>
      </w:pPr>
      <w:bookmarkStart w:id="15" w:name="augustinus"/>
      <w:bookmarkEnd w:id="15"/>
      <w:r>
        <w:rPr>
          <w:rFonts w:ascii="Liberation Serif" w:hAnsi="Liberation Serif" w:cs="Liberation Serif"/>
        </w:rPr>
        <w:t>Aurelius Augustinus verfasst seine philosophischen und theologischen Werke</w:t>
      </w:r>
    </w:p>
    <w:p w14:paraId="786FD1EF" w14:textId="77777777" w:rsidR="00AA75F2" w:rsidRDefault="00AA75F2" w:rsidP="00AA75F2">
      <w:pPr>
        <w:pStyle w:val="StandardWeb"/>
        <w:rPr>
          <w:rFonts w:ascii="Times New Roman" w:hAnsi="Times New Roman"/>
        </w:rPr>
      </w:pPr>
      <w:r>
        <w:t>ab 386 n. Chr.</w:t>
      </w:r>
    </w:p>
    <w:p w14:paraId="74D5BD93" w14:textId="77777777" w:rsidR="00AA75F2" w:rsidRDefault="00AA75F2" w:rsidP="00AA75F2">
      <w:pPr>
        <w:pStyle w:val="StandardWeb"/>
      </w:pPr>
      <w:r>
        <w:t xml:space="preserve">Aurelius Augustinus aus </w:t>
      </w:r>
      <w:proofErr w:type="spellStart"/>
      <w:r>
        <w:t>Thagaste</w:t>
      </w:r>
      <w:proofErr w:type="spellEnd"/>
      <w:r>
        <w:t xml:space="preserve"> (heute Tunesien) ist ein christlicher Philosoph und Kirchenlehrer (Lebensdaten: 354 – 430). Er findet über den Manichäismus zur christlichen Lehre; diese philosophisch-religiöse Lehre nimmt eine extreme Trennung einer guten und einer bösen Kraft an (dualistisches Weltbild). Augustinus verfasst eine Reihe von philosophischen und theologischen Werken, die das Mittelalter stark beeinflussen. In seinem Werk </w:t>
      </w:r>
      <w:r>
        <w:rPr>
          <w:rStyle w:val="Hervorhebung"/>
        </w:rPr>
        <w:t xml:space="preserve">De </w:t>
      </w:r>
      <w:proofErr w:type="spellStart"/>
      <w:r>
        <w:rPr>
          <w:rStyle w:val="Hervorhebung"/>
        </w:rPr>
        <w:t>civitate</w:t>
      </w:r>
      <w:proofErr w:type="spellEnd"/>
      <w:r>
        <w:rPr>
          <w:rStyle w:val="Hervorhebung"/>
        </w:rPr>
        <w:t xml:space="preserve"> </w:t>
      </w:r>
      <w:proofErr w:type="spellStart"/>
      <w:r>
        <w:rPr>
          <w:rStyle w:val="Hervorhebung"/>
        </w:rPr>
        <w:t>dei</w:t>
      </w:r>
      <w:proofErr w:type="spellEnd"/>
      <w:r>
        <w:t xml:space="preserve"> geht er auch auf die Eroberung Roms durch die Goten unter Alarich im Jahr 410 ein, um das Argument zu entkräften, die Schwächung des Staates durch das Christentum habe den Untergang Roms bewirkt.</w:t>
      </w:r>
    </w:p>
    <w:p w14:paraId="46D6A511" w14:textId="59842E1B" w:rsidR="00AA75F2" w:rsidRDefault="00AA75F2" w:rsidP="00AA75F2">
      <w:pPr>
        <w:pStyle w:val="StandardWeb"/>
        <w:pBdr>
          <w:bottom w:val="single" w:sz="6" w:space="1" w:color="auto"/>
        </w:pBdr>
      </w:pPr>
      <w:r>
        <w:t xml:space="preserve">Linkempfehlung: Sammlung von Internetressourcen zu Augustinus auf </w:t>
      </w:r>
      <w:hyperlink r:id="rId37" w:anchor="augustinus" w:history="1">
        <w:r>
          <w:rPr>
            <w:rStyle w:val="Hyperlink"/>
          </w:rPr>
          <w:t>hengelhau</w:t>
        </w:r>
        <w:r>
          <w:rPr>
            <w:rStyle w:val="Hyperlink"/>
          </w:rPr>
          <w:t>p</w:t>
        </w:r>
        <w:r>
          <w:rPr>
            <w:rStyle w:val="Hyperlink"/>
          </w:rPr>
          <w:t>t.de</w:t>
        </w:r>
      </w:hyperlink>
      <w:r>
        <w:t>.</w:t>
      </w:r>
    </w:p>
    <w:p w14:paraId="44A02AA6" w14:textId="77777777" w:rsidR="00DA3BC6" w:rsidRDefault="00DA3BC6" w:rsidP="00AA75F2">
      <w:pPr>
        <w:pStyle w:val="StandardWeb"/>
      </w:pPr>
    </w:p>
    <w:p w14:paraId="37177C20" w14:textId="2C1EFDEF" w:rsidR="00542655" w:rsidRPr="00CD445B" w:rsidRDefault="00542655" w:rsidP="00CD445B">
      <w:pPr>
        <w:pStyle w:val="StandardWeb"/>
        <w:spacing w:before="100" w:beforeAutospacing="1" w:after="142"/>
        <w:ind w:left="720"/>
        <w:rPr>
          <w:rFonts w:ascii="Liberation Sans" w:hAnsi="Liberation Sans" w:cs="Liberation Sans"/>
          <w:i/>
          <w:iCs/>
          <w:sz w:val="32"/>
          <w:szCs w:val="32"/>
        </w:rPr>
      </w:pPr>
      <w:r w:rsidRPr="00CD445B">
        <w:rPr>
          <w:rFonts w:ascii="Liberation Sans" w:hAnsi="Liberation Sans" w:cs="Liberation Sans"/>
          <w:i/>
          <w:iCs/>
          <w:sz w:val="32"/>
          <w:szCs w:val="32"/>
        </w:rPr>
        <w:t>Quellen</w:t>
      </w:r>
    </w:p>
    <w:p w14:paraId="289DAF73" w14:textId="7E2AAC34" w:rsidR="00542655" w:rsidRDefault="00542655" w:rsidP="00B97E79">
      <w:pPr>
        <w:pStyle w:val="StandardWeb"/>
      </w:pPr>
      <w:r>
        <w:t xml:space="preserve">Als Quellen für diese Seite wurden die in der </w:t>
      </w:r>
      <w:hyperlink r:id="rId38" w:tgtFrame="_blank" w:history="1">
        <w:proofErr w:type="gramStart"/>
        <w:r>
          <w:rPr>
            <w:rStyle w:val="Hyperlink"/>
          </w:rPr>
          <w:t>Bibliographie</w:t>
        </w:r>
        <w:proofErr w:type="gramEnd"/>
        <w:r>
          <w:rPr>
            <w:rStyle w:val="Hyperlink"/>
          </w:rPr>
          <w:t xml:space="preserve"> zur römischen Geschichte und Literaturgeschichte</w:t>
        </w:r>
      </w:hyperlink>
      <w:r>
        <w:t xml:space="preserve"> aufgeführten Werke verwendet.</w:t>
      </w:r>
    </w:p>
    <w:p w14:paraId="6BE9D164" w14:textId="48A8639D" w:rsidR="00AB77C2" w:rsidRPr="00AB77C2" w:rsidRDefault="00542655" w:rsidP="0008450E">
      <w:pPr>
        <w:pStyle w:val="StandardWeb"/>
      </w:pPr>
      <w:r>
        <w:t>Autor: Tilman Bechthold-Hengelhaupt</w:t>
      </w:r>
    </w:p>
    <w:sectPr w:rsidR="00AB77C2" w:rsidRPr="00AB77C2" w:rsidSect="00E5487E">
      <w:headerReference w:type="even" r:id="rId39"/>
      <w:headerReference w:type="default" r:id="rId40"/>
      <w:footerReference w:type="even" r:id="rId41"/>
      <w:footerReference w:type="default" r:id="rId42"/>
      <w:headerReference w:type="first" r:id="rId43"/>
      <w:footerReference w:type="first" r:id="rId44"/>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C350" w14:textId="77777777" w:rsidR="007F75EE" w:rsidRDefault="007F75EE">
      <w:r>
        <w:separator/>
      </w:r>
    </w:p>
  </w:endnote>
  <w:endnote w:type="continuationSeparator" w:id="0">
    <w:p w14:paraId="2C680D90" w14:textId="77777777" w:rsidR="007F75EE" w:rsidRDefault="007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09F" w14:textId="77777777" w:rsidR="00C3358A" w:rsidRDefault="00C335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3E2" w14:textId="443F922A"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5D2A4E">
      <w:rPr>
        <w:sz w:val="16"/>
        <w:szCs w:val="16"/>
      </w:rPr>
      <w:t xml:space="preserve">, Fachredaktion </w:t>
    </w:r>
    <w:r w:rsidR="00D9342F">
      <w:rPr>
        <w:sz w:val="16"/>
        <w:szCs w:val="16"/>
      </w:rPr>
      <w:t xml:space="preserve">Latein (auch über </w:t>
    </w:r>
    <w:hyperlink r:id="rId3" w:history="1">
      <w:r w:rsidR="00D9342F" w:rsidRPr="00AA0B3B">
        <w:rPr>
          <w:rStyle w:val="Hyperlink"/>
          <w:sz w:val="16"/>
          <w:szCs w:val="16"/>
        </w:rPr>
        <w:t>www.latein-bw.de</w:t>
      </w:r>
    </w:hyperlink>
    <w:r w:rsidR="00D9342F">
      <w:rPr>
        <w:sz w:val="16"/>
        <w:szCs w:val="16"/>
      </w:rPr>
      <w:t xml:space="preserve"> zu erreichen)</w:t>
    </w:r>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4"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76D3642D"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F771BC">
      <w:rPr>
        <w:noProof/>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F771BC">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B47" w14:textId="77777777" w:rsidR="00C3358A" w:rsidRDefault="00C335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9B98" w14:textId="77777777" w:rsidR="007F75EE" w:rsidRDefault="007F75EE">
      <w:r>
        <w:rPr>
          <w:color w:val="000000"/>
        </w:rPr>
        <w:separator/>
      </w:r>
    </w:p>
  </w:footnote>
  <w:footnote w:type="continuationSeparator" w:id="0">
    <w:p w14:paraId="1EA81F0E" w14:textId="77777777" w:rsidR="007F75EE" w:rsidRDefault="007F75EE">
      <w:r>
        <w:continuationSeparator/>
      </w:r>
    </w:p>
  </w:footnote>
  <w:footnote w:id="1">
    <w:p w14:paraId="756BCFA9" w14:textId="2F27DD0A" w:rsidR="00AA75F2" w:rsidRDefault="00AA75F2" w:rsidP="00AA75F2">
      <w:pPr>
        <w:pStyle w:val="StandardWeb"/>
        <w:spacing w:after="0" w:line="240" w:lineRule="auto"/>
        <w:rPr>
          <w:sz w:val="20"/>
          <w:szCs w:val="20"/>
        </w:rPr>
      </w:pPr>
      <w:r>
        <w:rPr>
          <w:rStyle w:val="Funotenzeichen"/>
        </w:rPr>
        <w:footnoteRef/>
      </w:r>
      <w:r>
        <w:t xml:space="preserve"> </w:t>
      </w:r>
      <w:r>
        <w:rPr>
          <w:sz w:val="20"/>
          <w:szCs w:val="20"/>
        </w:rPr>
        <w:t xml:space="preserve">Quelle für das Toleranzedikt des </w:t>
      </w:r>
      <w:proofErr w:type="spellStart"/>
      <w:r>
        <w:rPr>
          <w:sz w:val="20"/>
          <w:szCs w:val="20"/>
        </w:rPr>
        <w:t>Galienus</w:t>
      </w:r>
      <w:proofErr w:type="spellEnd"/>
      <w:r>
        <w:rPr>
          <w:sz w:val="20"/>
          <w:szCs w:val="20"/>
        </w:rPr>
        <w:t xml:space="preserve">: </w:t>
      </w:r>
      <w:proofErr w:type="spellStart"/>
      <w:r>
        <w:rPr>
          <w:sz w:val="20"/>
          <w:szCs w:val="20"/>
        </w:rPr>
        <w:t>Laktanz</w:t>
      </w:r>
      <w:proofErr w:type="spellEnd"/>
      <w:r>
        <w:rPr>
          <w:sz w:val="20"/>
          <w:szCs w:val="20"/>
        </w:rPr>
        <w:t xml:space="preserve">, De </w:t>
      </w:r>
      <w:proofErr w:type="spellStart"/>
      <w:r>
        <w:rPr>
          <w:sz w:val="20"/>
          <w:szCs w:val="20"/>
        </w:rPr>
        <w:t>mortibus</w:t>
      </w:r>
      <w:proofErr w:type="spellEnd"/>
      <w:r>
        <w:rPr>
          <w:sz w:val="20"/>
          <w:szCs w:val="20"/>
        </w:rPr>
        <w:t xml:space="preserve"> </w:t>
      </w:r>
      <w:proofErr w:type="spellStart"/>
      <w:r>
        <w:rPr>
          <w:sz w:val="20"/>
          <w:szCs w:val="20"/>
        </w:rPr>
        <w:t>persecutorum</w:t>
      </w:r>
      <w:proofErr w:type="spellEnd"/>
      <w:r>
        <w:rPr>
          <w:sz w:val="20"/>
          <w:szCs w:val="20"/>
        </w:rPr>
        <w:t xml:space="preserve"> § 34, deutsche Übersetzung: </w:t>
      </w:r>
      <w:hyperlink r:id="rId1" w:history="1">
        <w:r>
          <w:rPr>
            <w:rStyle w:val="Hyperlink"/>
            <w:sz w:val="20"/>
            <w:szCs w:val="20"/>
          </w:rPr>
          <w:t>Bibliothek der Kirchenväter</w:t>
        </w:r>
      </w:hyperlink>
      <w:r>
        <w:rPr>
          <w:sz w:val="20"/>
          <w:szCs w:val="20"/>
        </w:rPr>
        <w:t xml:space="preserve"> – lateinischer Text: </w:t>
      </w:r>
      <w:hyperlink r:id="rId2" w:history="1">
        <w:proofErr w:type="spellStart"/>
        <w:r>
          <w:rPr>
            <w:rStyle w:val="Hyperlink"/>
            <w:sz w:val="20"/>
            <w:szCs w:val="20"/>
          </w:rPr>
          <w:t>Bibliotheca</w:t>
        </w:r>
        <w:proofErr w:type="spellEnd"/>
        <w:r>
          <w:rPr>
            <w:rStyle w:val="Hyperlink"/>
            <w:sz w:val="20"/>
            <w:szCs w:val="20"/>
          </w:rPr>
          <w:t xml:space="preserve"> Augustana</w:t>
        </w:r>
      </w:hyperlink>
      <w:r>
        <w:rPr>
          <w:sz w:val="20"/>
          <w:szCs w:val="20"/>
        </w:rPr>
        <w:t>.</w:t>
      </w:r>
    </w:p>
    <w:p w14:paraId="2757A266" w14:textId="77777777" w:rsidR="00AA75F2" w:rsidRDefault="00AA75F2" w:rsidP="00AA75F2">
      <w:pPr>
        <w:pStyle w:val="StandardWeb"/>
        <w:spacing w:after="0" w:line="240" w:lineRule="auto"/>
      </w:pPr>
    </w:p>
  </w:footnote>
  <w:footnote w:id="2">
    <w:p w14:paraId="12548647" w14:textId="77777777" w:rsidR="00AA75F2" w:rsidRDefault="00AA75F2" w:rsidP="00AA75F2">
      <w:pPr>
        <w:pStyle w:val="StandardWeb"/>
        <w:spacing w:after="0"/>
      </w:pPr>
      <w:r>
        <w:rPr>
          <w:rStyle w:val="Funotenzeichen"/>
        </w:rPr>
        <w:footnoteRef/>
      </w:r>
      <w:r>
        <w:t xml:space="preserve"> </w:t>
      </w:r>
      <w:r>
        <w:rPr>
          <w:sz w:val="20"/>
          <w:szCs w:val="20"/>
        </w:rPr>
        <w:t>Quellen für die so genannte Mailänder Vereinbarung: Martin Wallraff (</w:t>
      </w:r>
      <w:proofErr w:type="spellStart"/>
      <w:r>
        <w:rPr>
          <w:sz w:val="20"/>
          <w:szCs w:val="20"/>
        </w:rPr>
        <w:t>Hg</w:t>
      </w:r>
      <w:proofErr w:type="spellEnd"/>
      <w:r>
        <w:rPr>
          <w:sz w:val="20"/>
          <w:szCs w:val="20"/>
        </w:rPr>
        <w:t>.) (2016): Religiöse Toleranz. 1700 Jahre nach dem Edikt von Mailand (</w:t>
      </w:r>
      <w:proofErr w:type="spellStart"/>
      <w:r>
        <w:rPr>
          <w:sz w:val="20"/>
          <w:szCs w:val="20"/>
        </w:rPr>
        <w:t>Studia</w:t>
      </w:r>
      <w:proofErr w:type="spellEnd"/>
      <w:r>
        <w:rPr>
          <w:sz w:val="20"/>
          <w:szCs w:val="20"/>
        </w:rPr>
        <w:t xml:space="preserve"> Raurica 14), Berlin / Boston. </w:t>
      </w:r>
      <w:r>
        <w:rPr>
          <w:sz w:val="20"/>
          <w:szCs w:val="20"/>
        </w:rPr>
        <w:br/>
        <w:t xml:space="preserve">Siehe ferner Wikipedia: </w:t>
      </w:r>
      <w:hyperlink r:id="rId3" w:history="1">
        <w:r>
          <w:rPr>
            <w:rStyle w:val="Hyperlink"/>
            <w:sz w:val="20"/>
            <w:szCs w:val="20"/>
          </w:rPr>
          <w:t>Mailänder Vereinbarung</w:t>
        </w:r>
      </w:hyperlink>
      <w:r>
        <w:rPr>
          <w:sz w:val="20"/>
          <w:szCs w:val="20"/>
        </w:rPr>
        <w:t xml:space="preserve"> (hier wird die Position vertreten, dass es sich nicht um ein Edikt handelt).</w:t>
      </w:r>
    </w:p>
    <w:p w14:paraId="7E783032" w14:textId="4FB01DFF" w:rsidR="00AA75F2" w:rsidRDefault="00AA75F2">
      <w:pPr>
        <w:pStyle w:val="Funotentext"/>
      </w:pPr>
    </w:p>
  </w:footnote>
  <w:footnote w:id="3">
    <w:p w14:paraId="40927010" w14:textId="6B7F3D71" w:rsidR="004D5AC9" w:rsidRDefault="004D5AC9" w:rsidP="004D5AC9">
      <w:pPr>
        <w:pStyle w:val="StandardWeb"/>
      </w:pPr>
      <w:r>
        <w:rPr>
          <w:rStyle w:val="Funotenzeichen"/>
        </w:rPr>
        <w:footnoteRef/>
      </w:r>
      <w:r>
        <w:t xml:space="preserve"> </w:t>
      </w:r>
      <w:r>
        <w:rPr>
          <w:sz w:val="20"/>
          <w:szCs w:val="20"/>
        </w:rPr>
        <w:t xml:space="preserve">Quelle zum Thema Völkerwanderung: Mischa Meier (2019): Geschichte der Völkerwanderung. Europa, Asien und Afrika vom 3. bis zum 8. Jahrhundert n.Chr., (Historische Bibliothek der Gerda Henkel Stiftung), München. Rezension zu diesem Buch: </w:t>
      </w:r>
      <w:hyperlink r:id="rId4" w:history="1">
        <w:r>
          <w:rPr>
            <w:rStyle w:val="Hyperlink"/>
            <w:sz w:val="20"/>
            <w:szCs w:val="20"/>
          </w:rPr>
          <w:t>HsozKult</w:t>
        </w:r>
      </w:hyperlink>
      <w:r>
        <w:rPr>
          <w:sz w:val="20"/>
          <w:szCs w:val="20"/>
        </w:rPr>
        <w:t>.</w:t>
      </w:r>
      <w:r>
        <w:rPr>
          <w:sz w:val="20"/>
          <w:szCs w:val="20"/>
        </w:rPr>
        <w:br/>
        <w:t xml:space="preserve">Zur Frage der Periodisierung der europäischen Geschichte siehe einen Artikel von Reinhold Kaiser: (2009): Spätantike und Frühmittelalter – das Problem der Periodenbildung, Kontinuitäten und Brüche, Konzeptionen und Befunde. Versuch einer Zusammenfassung. In: Vorträge und Forschungen (Konstanzer Arbeitskreis), 70.2009, S. 319 - 338, online/DOI: </w:t>
      </w:r>
      <w:hyperlink r:id="rId5" w:history="1">
        <w:r>
          <w:rPr>
            <w:rStyle w:val="Hyperlink"/>
            <w:sz w:val="20"/>
            <w:szCs w:val="20"/>
          </w:rPr>
          <w:t>https://doi.org/10.11588/vuf.2009.0.18010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0B74" w14:textId="77777777" w:rsidR="00C3358A" w:rsidRDefault="00C335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1FD" w14:textId="4E5A0DC2" w:rsidR="001606BD" w:rsidRDefault="00AC3704">
    <w:pPr>
      <w:pStyle w:val="Kopfzeile"/>
      <w:spacing w:after="720"/>
      <w:ind w:left="142"/>
    </w:pPr>
    <w:r>
      <w:rPr>
        <w:noProof/>
        <w:lang w:bidi="lo-LA"/>
      </w:rPr>
      <w:drawing>
        <wp:anchor distT="0" distB="0" distL="114300" distR="114300" simplePos="0" relativeHeight="251666432" behindDoc="0" locked="0" layoutInCell="1" allowOverlap="1" wp14:anchorId="1B85CD8E" wp14:editId="3289AD0A">
          <wp:simplePos x="0" y="0"/>
          <wp:positionH relativeFrom="column">
            <wp:posOffset>4712970</wp:posOffset>
          </wp:positionH>
          <wp:positionV relativeFrom="paragraph">
            <wp:posOffset>208280</wp:posOffset>
          </wp:positionV>
          <wp:extent cx="1283335" cy="403860"/>
          <wp:effectExtent l="0" t="0" r="0" b="0"/>
          <wp:wrapSquare wrapText="bothSides"/>
          <wp:docPr id="3" name="1">
            <a:hlinkClick xmlns:a="http://schemas.openxmlformats.org/drawingml/2006/main" r:id="rId1"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6217" t="13964" r="6417" b="13964"/>
                  <a:stretch>
                    <a:fillRect/>
                  </a:stretch>
                </pic:blipFill>
                <pic:spPr>
                  <a:xfrm>
                    <a:off x="0" y="0"/>
                    <a:ext cx="1283335" cy="4038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C0486">
      <w:rPr>
        <w:noProof/>
        <w:lang w:bidi="lo-LA"/>
      </w:rPr>
      <mc:AlternateContent>
        <mc:Choice Requires="wps">
          <w:drawing>
            <wp:anchor distT="0" distB="0" distL="114300" distR="114300" simplePos="0" relativeHeight="251664384" behindDoc="1" locked="0" layoutInCell="1" allowOverlap="1" wp14:anchorId="454752F4" wp14:editId="5C4630BB">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454752F4"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sidR="007C0486">
      <w:rPr>
        <w:noProof/>
        <w:lang w:bidi="lo-LA"/>
      </w:rPr>
      <w:drawing>
        <wp:anchor distT="0" distB="0" distL="114300" distR="114300" simplePos="0" relativeHeight="251667456" behindDoc="1" locked="0" layoutInCell="1" allowOverlap="1" wp14:anchorId="0BC86AD3" wp14:editId="22B6E1EB">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3"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396360" cy="554400"/>
                  </a:xfrm>
                  <a:prstGeom prst="rect">
                    <a:avLst/>
                  </a:prstGeom>
                  <a:noFill/>
                  <a:ln>
                    <a:noFill/>
                    <a:prstDash/>
                  </a:ln>
                </pic:spPr>
              </pic:pic>
            </a:graphicData>
          </a:graphic>
        </wp:anchor>
      </w:drawing>
    </w:r>
    <w:r w:rsidR="007C0486">
      <w:rPr>
        <w:noProof/>
        <w:lang w:bidi="lo-LA"/>
      </w:rPr>
      <w:drawing>
        <wp:anchor distT="0" distB="0" distL="114300" distR="114300" simplePos="0" relativeHeight="251665408" behindDoc="0" locked="0" layoutInCell="1" allowOverlap="1" wp14:anchorId="5D05AFDD" wp14:editId="7C76AA2D">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5"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p>
  <w:p w14:paraId="6F2E2024" w14:textId="77777777" w:rsidR="001606BD" w:rsidRPr="00A756B8" w:rsidRDefault="00000000">
    <w:pPr>
      <w:pStyle w:val="Kopfzeile"/>
      <w:pBdr>
        <w:bottom w:val="single" w:sz="4" w:space="1" w:color="000000"/>
      </w:pBd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0A34" w14:textId="77777777" w:rsidR="00C3358A" w:rsidRDefault="00C335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892"/>
    <w:multiLevelType w:val="multilevel"/>
    <w:tmpl w:val="B650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076BA"/>
    <w:multiLevelType w:val="multilevel"/>
    <w:tmpl w:val="F92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184C"/>
    <w:multiLevelType w:val="multilevel"/>
    <w:tmpl w:val="A4AE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0567"/>
    <w:multiLevelType w:val="multilevel"/>
    <w:tmpl w:val="DDE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F1FD7"/>
    <w:multiLevelType w:val="multilevel"/>
    <w:tmpl w:val="6596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644C5"/>
    <w:multiLevelType w:val="multilevel"/>
    <w:tmpl w:val="1934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910AE"/>
    <w:multiLevelType w:val="multilevel"/>
    <w:tmpl w:val="3F18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251AA"/>
    <w:multiLevelType w:val="multilevel"/>
    <w:tmpl w:val="448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74701"/>
    <w:multiLevelType w:val="multilevel"/>
    <w:tmpl w:val="4F7E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B799A"/>
    <w:multiLevelType w:val="multilevel"/>
    <w:tmpl w:val="C3C4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D39B4"/>
    <w:multiLevelType w:val="multilevel"/>
    <w:tmpl w:val="D27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47EF1"/>
    <w:multiLevelType w:val="hybridMultilevel"/>
    <w:tmpl w:val="6A20E4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E634B5"/>
    <w:multiLevelType w:val="multilevel"/>
    <w:tmpl w:val="806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0565B"/>
    <w:multiLevelType w:val="multilevel"/>
    <w:tmpl w:val="333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106EC"/>
    <w:multiLevelType w:val="multilevel"/>
    <w:tmpl w:val="569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C003E"/>
    <w:multiLevelType w:val="hybridMultilevel"/>
    <w:tmpl w:val="EF5431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4E00C4"/>
    <w:multiLevelType w:val="multilevel"/>
    <w:tmpl w:val="240E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93A4C"/>
    <w:multiLevelType w:val="multilevel"/>
    <w:tmpl w:val="7AD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2310F"/>
    <w:multiLevelType w:val="multilevel"/>
    <w:tmpl w:val="845C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95E7F"/>
    <w:multiLevelType w:val="hybridMultilevel"/>
    <w:tmpl w:val="F3A802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F61E54"/>
    <w:multiLevelType w:val="multilevel"/>
    <w:tmpl w:val="559A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F28C8"/>
    <w:multiLevelType w:val="multilevel"/>
    <w:tmpl w:val="859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D59DD"/>
    <w:multiLevelType w:val="multilevel"/>
    <w:tmpl w:val="94B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61C17"/>
    <w:multiLevelType w:val="multilevel"/>
    <w:tmpl w:val="9D5A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73C89"/>
    <w:multiLevelType w:val="multilevel"/>
    <w:tmpl w:val="4D82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C7748"/>
    <w:multiLevelType w:val="multilevel"/>
    <w:tmpl w:val="8822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00B43"/>
    <w:multiLevelType w:val="multilevel"/>
    <w:tmpl w:val="93F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92455"/>
    <w:multiLevelType w:val="multilevel"/>
    <w:tmpl w:val="FFB8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AF948E0"/>
    <w:multiLevelType w:val="multilevel"/>
    <w:tmpl w:val="172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A4958"/>
    <w:multiLevelType w:val="multilevel"/>
    <w:tmpl w:val="01D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90BFA"/>
    <w:multiLevelType w:val="multilevel"/>
    <w:tmpl w:val="2E9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344BF"/>
    <w:multiLevelType w:val="multilevel"/>
    <w:tmpl w:val="4F94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541C56"/>
    <w:multiLevelType w:val="multilevel"/>
    <w:tmpl w:val="A3EA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A587B"/>
    <w:multiLevelType w:val="multilevel"/>
    <w:tmpl w:val="42F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CD1AF9"/>
    <w:multiLevelType w:val="multilevel"/>
    <w:tmpl w:val="0B7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E51C4"/>
    <w:multiLevelType w:val="multilevel"/>
    <w:tmpl w:val="33E4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72D59"/>
    <w:multiLevelType w:val="multilevel"/>
    <w:tmpl w:val="E3D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7149C8"/>
    <w:multiLevelType w:val="multilevel"/>
    <w:tmpl w:val="9514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9258B"/>
    <w:multiLevelType w:val="multilevel"/>
    <w:tmpl w:val="241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034398">
    <w:abstractNumId w:val="28"/>
  </w:num>
  <w:num w:numId="2" w16cid:durableId="2029485042">
    <w:abstractNumId w:val="8"/>
  </w:num>
  <w:num w:numId="3" w16cid:durableId="4946025">
    <w:abstractNumId w:val="10"/>
  </w:num>
  <w:num w:numId="4" w16cid:durableId="786198022">
    <w:abstractNumId w:val="34"/>
  </w:num>
  <w:num w:numId="5" w16cid:durableId="1345479147">
    <w:abstractNumId w:val="32"/>
  </w:num>
  <w:num w:numId="6" w16cid:durableId="967394949">
    <w:abstractNumId w:val="14"/>
  </w:num>
  <w:num w:numId="7" w16cid:durableId="641816626">
    <w:abstractNumId w:val="36"/>
  </w:num>
  <w:num w:numId="8" w16cid:durableId="1181774400">
    <w:abstractNumId w:val="2"/>
  </w:num>
  <w:num w:numId="9" w16cid:durableId="1336417133">
    <w:abstractNumId w:val="39"/>
  </w:num>
  <w:num w:numId="10" w16cid:durableId="1790389595">
    <w:abstractNumId w:val="21"/>
  </w:num>
  <w:num w:numId="11" w16cid:durableId="1049035245">
    <w:abstractNumId w:val="13"/>
  </w:num>
  <w:num w:numId="12" w16cid:durableId="428937735">
    <w:abstractNumId w:val="18"/>
  </w:num>
  <w:num w:numId="13" w16cid:durableId="1474835325">
    <w:abstractNumId w:val="26"/>
  </w:num>
  <w:num w:numId="14" w16cid:durableId="1876387160">
    <w:abstractNumId w:val="9"/>
  </w:num>
  <w:num w:numId="15" w16cid:durableId="1034891460">
    <w:abstractNumId w:val="38"/>
  </w:num>
  <w:num w:numId="16" w16cid:durableId="169759219">
    <w:abstractNumId w:val="1"/>
  </w:num>
  <w:num w:numId="17" w16cid:durableId="434600631">
    <w:abstractNumId w:val="3"/>
  </w:num>
  <w:num w:numId="18" w16cid:durableId="61878590">
    <w:abstractNumId w:val="5"/>
  </w:num>
  <w:num w:numId="19" w16cid:durableId="202448959">
    <w:abstractNumId w:val="33"/>
  </w:num>
  <w:num w:numId="20" w16cid:durableId="1506945244">
    <w:abstractNumId w:val="6"/>
  </w:num>
  <w:num w:numId="21" w16cid:durableId="799229973">
    <w:abstractNumId w:val="16"/>
  </w:num>
  <w:num w:numId="22" w16cid:durableId="545944314">
    <w:abstractNumId w:val="25"/>
  </w:num>
  <w:num w:numId="23" w16cid:durableId="937297059">
    <w:abstractNumId w:val="37"/>
  </w:num>
  <w:num w:numId="24" w16cid:durableId="2109884123">
    <w:abstractNumId w:val="30"/>
  </w:num>
  <w:num w:numId="25" w16cid:durableId="1992052458">
    <w:abstractNumId w:val="22"/>
  </w:num>
  <w:num w:numId="26" w16cid:durableId="566380319">
    <w:abstractNumId w:val="7"/>
  </w:num>
  <w:num w:numId="27" w16cid:durableId="752505662">
    <w:abstractNumId w:val="23"/>
  </w:num>
  <w:num w:numId="28" w16cid:durableId="984702419">
    <w:abstractNumId w:val="35"/>
  </w:num>
  <w:num w:numId="29" w16cid:durableId="754015853">
    <w:abstractNumId w:val="29"/>
  </w:num>
  <w:num w:numId="30" w16cid:durableId="890771139">
    <w:abstractNumId w:val="17"/>
  </w:num>
  <w:num w:numId="31" w16cid:durableId="1808860156">
    <w:abstractNumId w:val="20"/>
  </w:num>
  <w:num w:numId="32" w16cid:durableId="90636323">
    <w:abstractNumId w:val="27"/>
  </w:num>
  <w:num w:numId="33" w16cid:durableId="1561332218">
    <w:abstractNumId w:val="4"/>
  </w:num>
  <w:num w:numId="34" w16cid:durableId="2079016679">
    <w:abstractNumId w:val="19"/>
  </w:num>
  <w:num w:numId="35" w16cid:durableId="1772823721">
    <w:abstractNumId w:val="11"/>
  </w:num>
  <w:num w:numId="36" w16cid:durableId="1775008600">
    <w:abstractNumId w:val="15"/>
  </w:num>
  <w:num w:numId="37" w16cid:durableId="1532764027">
    <w:abstractNumId w:val="31"/>
  </w:num>
  <w:num w:numId="38" w16cid:durableId="1454442907">
    <w:abstractNumId w:val="24"/>
  </w:num>
  <w:num w:numId="39" w16cid:durableId="940797900">
    <w:abstractNumId w:val="0"/>
  </w:num>
  <w:num w:numId="40" w16cid:durableId="111517855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C3"/>
    <w:rsid w:val="000029CA"/>
    <w:rsid w:val="0001245B"/>
    <w:rsid w:val="00017585"/>
    <w:rsid w:val="00020330"/>
    <w:rsid w:val="000438E4"/>
    <w:rsid w:val="0008450E"/>
    <w:rsid w:val="000C75F4"/>
    <w:rsid w:val="000D7A69"/>
    <w:rsid w:val="000F11FF"/>
    <w:rsid w:val="00110CBC"/>
    <w:rsid w:val="001502C2"/>
    <w:rsid w:val="0015363F"/>
    <w:rsid w:val="00163CD8"/>
    <w:rsid w:val="00171551"/>
    <w:rsid w:val="001718B9"/>
    <w:rsid w:val="00196AFD"/>
    <w:rsid w:val="001D3841"/>
    <w:rsid w:val="00203393"/>
    <w:rsid w:val="00230483"/>
    <w:rsid w:val="0023656E"/>
    <w:rsid w:val="002407D7"/>
    <w:rsid w:val="002413FE"/>
    <w:rsid w:val="00257934"/>
    <w:rsid w:val="0026425C"/>
    <w:rsid w:val="00271B87"/>
    <w:rsid w:val="00287703"/>
    <w:rsid w:val="002B5FFA"/>
    <w:rsid w:val="002C2F5B"/>
    <w:rsid w:val="002E465A"/>
    <w:rsid w:val="002F2145"/>
    <w:rsid w:val="00301860"/>
    <w:rsid w:val="00302A4B"/>
    <w:rsid w:val="0030616A"/>
    <w:rsid w:val="00312FD7"/>
    <w:rsid w:val="003466E8"/>
    <w:rsid w:val="00374B21"/>
    <w:rsid w:val="0038739A"/>
    <w:rsid w:val="00390FFF"/>
    <w:rsid w:val="00394C0F"/>
    <w:rsid w:val="003D332C"/>
    <w:rsid w:val="003D4AED"/>
    <w:rsid w:val="003E0776"/>
    <w:rsid w:val="003E3562"/>
    <w:rsid w:val="00403A78"/>
    <w:rsid w:val="004053F3"/>
    <w:rsid w:val="00460FBF"/>
    <w:rsid w:val="00471436"/>
    <w:rsid w:val="004930F1"/>
    <w:rsid w:val="004B5081"/>
    <w:rsid w:val="004D3DDF"/>
    <w:rsid w:val="004D5AC9"/>
    <w:rsid w:val="004D6FF6"/>
    <w:rsid w:val="004E1888"/>
    <w:rsid w:val="004E28B6"/>
    <w:rsid w:val="00506DDF"/>
    <w:rsid w:val="00513E1E"/>
    <w:rsid w:val="00542655"/>
    <w:rsid w:val="00556881"/>
    <w:rsid w:val="00563EE3"/>
    <w:rsid w:val="00570BCA"/>
    <w:rsid w:val="005937A4"/>
    <w:rsid w:val="005B168E"/>
    <w:rsid w:val="005B44E1"/>
    <w:rsid w:val="005B4BF9"/>
    <w:rsid w:val="005B6F27"/>
    <w:rsid w:val="005C6DCB"/>
    <w:rsid w:val="005D2A4E"/>
    <w:rsid w:val="005F056F"/>
    <w:rsid w:val="00621CA7"/>
    <w:rsid w:val="0063216C"/>
    <w:rsid w:val="006C5E5A"/>
    <w:rsid w:val="006F48A4"/>
    <w:rsid w:val="006F6620"/>
    <w:rsid w:val="0074723F"/>
    <w:rsid w:val="00771BE5"/>
    <w:rsid w:val="007C0486"/>
    <w:rsid w:val="007C2E6A"/>
    <w:rsid w:val="007F28F0"/>
    <w:rsid w:val="007F5EBD"/>
    <w:rsid w:val="007F63E6"/>
    <w:rsid w:val="007F75EE"/>
    <w:rsid w:val="008029E6"/>
    <w:rsid w:val="0082147A"/>
    <w:rsid w:val="00827591"/>
    <w:rsid w:val="0082796E"/>
    <w:rsid w:val="008316CF"/>
    <w:rsid w:val="00841BEE"/>
    <w:rsid w:val="008472AA"/>
    <w:rsid w:val="00882A7D"/>
    <w:rsid w:val="008A1D32"/>
    <w:rsid w:val="008B2931"/>
    <w:rsid w:val="008C0EC6"/>
    <w:rsid w:val="008D20A0"/>
    <w:rsid w:val="008E524C"/>
    <w:rsid w:val="00910B00"/>
    <w:rsid w:val="00965962"/>
    <w:rsid w:val="00982ABA"/>
    <w:rsid w:val="00995777"/>
    <w:rsid w:val="009A2297"/>
    <w:rsid w:val="009C2399"/>
    <w:rsid w:val="009F331F"/>
    <w:rsid w:val="00A10E0F"/>
    <w:rsid w:val="00A25960"/>
    <w:rsid w:val="00A2607A"/>
    <w:rsid w:val="00A301E9"/>
    <w:rsid w:val="00A309D6"/>
    <w:rsid w:val="00A358FE"/>
    <w:rsid w:val="00A5554F"/>
    <w:rsid w:val="00A756B8"/>
    <w:rsid w:val="00A95839"/>
    <w:rsid w:val="00AA136F"/>
    <w:rsid w:val="00AA75F2"/>
    <w:rsid w:val="00AB77C2"/>
    <w:rsid w:val="00AC3427"/>
    <w:rsid w:val="00AC3704"/>
    <w:rsid w:val="00AC53E5"/>
    <w:rsid w:val="00AC7122"/>
    <w:rsid w:val="00AD7361"/>
    <w:rsid w:val="00B079D6"/>
    <w:rsid w:val="00B309A3"/>
    <w:rsid w:val="00B43196"/>
    <w:rsid w:val="00B51D05"/>
    <w:rsid w:val="00B774AD"/>
    <w:rsid w:val="00B814D9"/>
    <w:rsid w:val="00B9253B"/>
    <w:rsid w:val="00B97E79"/>
    <w:rsid w:val="00BD1F4A"/>
    <w:rsid w:val="00C02044"/>
    <w:rsid w:val="00C07BAE"/>
    <w:rsid w:val="00C1743D"/>
    <w:rsid w:val="00C3358A"/>
    <w:rsid w:val="00C577AD"/>
    <w:rsid w:val="00C67037"/>
    <w:rsid w:val="00C73556"/>
    <w:rsid w:val="00C854A0"/>
    <w:rsid w:val="00CA60C7"/>
    <w:rsid w:val="00CD445B"/>
    <w:rsid w:val="00CE1D47"/>
    <w:rsid w:val="00D37BBC"/>
    <w:rsid w:val="00D42FC3"/>
    <w:rsid w:val="00D4672C"/>
    <w:rsid w:val="00D52C0D"/>
    <w:rsid w:val="00D63A83"/>
    <w:rsid w:val="00D66DDD"/>
    <w:rsid w:val="00D77675"/>
    <w:rsid w:val="00D8530D"/>
    <w:rsid w:val="00D86BF0"/>
    <w:rsid w:val="00D9342F"/>
    <w:rsid w:val="00DA209F"/>
    <w:rsid w:val="00DA3BC6"/>
    <w:rsid w:val="00DA4CF7"/>
    <w:rsid w:val="00DC3371"/>
    <w:rsid w:val="00DD3631"/>
    <w:rsid w:val="00E15366"/>
    <w:rsid w:val="00E1610E"/>
    <w:rsid w:val="00E47A82"/>
    <w:rsid w:val="00E5487E"/>
    <w:rsid w:val="00E864F2"/>
    <w:rsid w:val="00E87D87"/>
    <w:rsid w:val="00EA4A4E"/>
    <w:rsid w:val="00ED0A3F"/>
    <w:rsid w:val="00EF103F"/>
    <w:rsid w:val="00EF5220"/>
    <w:rsid w:val="00EF7A3C"/>
    <w:rsid w:val="00F01EA1"/>
    <w:rsid w:val="00F32E26"/>
    <w:rsid w:val="00F416C7"/>
    <w:rsid w:val="00F62A4B"/>
    <w:rsid w:val="00F7292E"/>
    <w:rsid w:val="00F771BC"/>
    <w:rsid w:val="00F85569"/>
    <w:rsid w:val="00F95086"/>
    <w:rsid w:val="00FA6414"/>
    <w:rsid w:val="00FB7D32"/>
    <w:rsid w:val="00FD0897"/>
    <w:rsid w:val="00FD6901"/>
    <w:rsid w:val="00FE1303"/>
    <w:rsid w:val="00FF6B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17585"/>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171551"/>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B774AD"/>
    <w:pPr>
      <w:keepNext/>
      <w:suppressAutoHyphens w:val="0"/>
      <w:autoSpaceDN/>
      <w:spacing w:before="113" w:after="119" w:line="240" w:lineRule="auto"/>
      <w:textAlignment w:val="auto"/>
      <w:outlineLvl w:val="2"/>
    </w:pPr>
    <w:rPr>
      <w:rFonts w:ascii="Times New Roman" w:hAnsi="Times New Roman"/>
      <w:b/>
      <w:bCs/>
      <w:sz w:val="27"/>
      <w:szCs w:val="27"/>
    </w:rPr>
  </w:style>
  <w:style w:type="paragraph" w:styleId="berschrift4">
    <w:name w:val="heading 4"/>
    <w:basedOn w:val="Standard"/>
    <w:link w:val="berschrift4Zchn"/>
    <w:uiPriority w:val="9"/>
    <w:qFormat/>
    <w:rsid w:val="00B774AD"/>
    <w:pPr>
      <w:keepNext/>
      <w:suppressAutoHyphens w:val="0"/>
      <w:autoSpaceDN/>
      <w:spacing w:before="119" w:after="119" w:line="240" w:lineRule="auto"/>
      <w:textAlignment w:val="auto"/>
      <w:outlineLvl w:val="3"/>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5D2A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elZchn">
    <w:name w:val="Titel Zchn"/>
    <w:basedOn w:val="Absatz-Standardschriftart"/>
    <w:link w:val="Titel"/>
    <w:uiPriority w:val="10"/>
    <w:rsid w:val="005D2A4E"/>
    <w:rPr>
      <w:rFonts w:asciiTheme="majorHAnsi" w:eastAsiaTheme="majorEastAsia" w:hAnsiTheme="majorHAnsi" w:cstheme="majorBidi"/>
      <w:color w:val="17365D" w:themeColor="text2" w:themeShade="BF"/>
      <w:spacing w:val="5"/>
      <w:kern w:val="28"/>
      <w:sz w:val="44"/>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171551"/>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NichtaufgelsteErwhnung1">
    <w:name w:val="Nicht aufgelöste Erwähnung1"/>
    <w:basedOn w:val="Absatz-Standardschriftart"/>
    <w:uiPriority w:val="99"/>
    <w:semiHidden/>
    <w:unhideWhenUsed/>
    <w:rsid w:val="00B309A3"/>
    <w:rPr>
      <w:color w:val="605E5C"/>
      <w:shd w:val="clear" w:color="auto" w:fill="E1DFDD"/>
    </w:rPr>
  </w:style>
  <w:style w:type="character" w:styleId="NichtaufgelsteErwhnung">
    <w:name w:val="Unresolved Mention"/>
    <w:basedOn w:val="Absatz-Standardschriftart"/>
    <w:uiPriority w:val="99"/>
    <w:semiHidden/>
    <w:unhideWhenUsed/>
    <w:rsid w:val="00D9342F"/>
    <w:rPr>
      <w:color w:val="605E5C"/>
      <w:shd w:val="clear" w:color="auto" w:fill="E1DFDD"/>
    </w:rPr>
  </w:style>
  <w:style w:type="character" w:customStyle="1" w:styleId="berschrift3Zchn">
    <w:name w:val="Überschrift 3 Zchn"/>
    <w:basedOn w:val="Absatz-Standardschriftart"/>
    <w:link w:val="berschrift3"/>
    <w:uiPriority w:val="9"/>
    <w:rsid w:val="00B774AD"/>
    <w:rPr>
      <w:rFonts w:ascii="Times New Roman" w:hAnsi="Times New Roman"/>
      <w:b/>
      <w:bCs/>
      <w:sz w:val="27"/>
      <w:szCs w:val="27"/>
    </w:rPr>
  </w:style>
  <w:style w:type="character" w:customStyle="1" w:styleId="berschrift4Zchn">
    <w:name w:val="Überschrift 4 Zchn"/>
    <w:basedOn w:val="Absatz-Standardschriftart"/>
    <w:link w:val="berschrift4"/>
    <w:uiPriority w:val="9"/>
    <w:rsid w:val="00B774AD"/>
    <w:rPr>
      <w:rFonts w:ascii="Times New Roman" w:hAnsi="Times New Roman"/>
      <w:b/>
      <w:bCs/>
      <w:szCs w:val="24"/>
    </w:rPr>
  </w:style>
  <w:style w:type="paragraph" w:styleId="StandardWeb">
    <w:name w:val="Normal (Web)"/>
    <w:aliases w:val="Standard LBS"/>
    <w:basedOn w:val="Standard"/>
    <w:autoRedefine/>
    <w:uiPriority w:val="99"/>
    <w:unhideWhenUsed/>
    <w:qFormat/>
    <w:rsid w:val="00B97E79"/>
    <w:pPr>
      <w:suppressAutoHyphens w:val="0"/>
      <w:autoSpaceDN/>
      <w:spacing w:after="240"/>
      <w:textAlignment w:val="auto"/>
    </w:pPr>
    <w:rPr>
      <w:rFonts w:ascii="Arial" w:hAnsi="Arial"/>
      <w:sz w:val="22"/>
    </w:rPr>
  </w:style>
  <w:style w:type="paragraph" w:styleId="Zitat">
    <w:name w:val="Quote"/>
    <w:basedOn w:val="Standard"/>
    <w:next w:val="Standard"/>
    <w:link w:val="ZitatZchn"/>
    <w:uiPriority w:val="29"/>
    <w:qFormat/>
    <w:rsid w:val="00B97E7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97E79"/>
    <w:rPr>
      <w:i/>
      <w:iCs/>
      <w:color w:val="404040" w:themeColor="text1" w:themeTint="BF"/>
    </w:rPr>
  </w:style>
  <w:style w:type="paragraph" w:styleId="Funotentext">
    <w:name w:val="footnote text"/>
    <w:basedOn w:val="Standard"/>
    <w:link w:val="FunotentextZchn"/>
    <w:uiPriority w:val="99"/>
    <w:semiHidden/>
    <w:unhideWhenUsed/>
    <w:rsid w:val="00AA75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75F2"/>
    <w:rPr>
      <w:sz w:val="20"/>
      <w:szCs w:val="20"/>
    </w:rPr>
  </w:style>
  <w:style w:type="character" w:styleId="Funotenzeichen">
    <w:name w:val="footnote reference"/>
    <w:basedOn w:val="Absatz-Standardschriftart"/>
    <w:uiPriority w:val="99"/>
    <w:semiHidden/>
    <w:unhideWhenUsed/>
    <w:rsid w:val="00AA7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8647268">
      <w:bodyDiv w:val="1"/>
      <w:marLeft w:val="0"/>
      <w:marRight w:val="0"/>
      <w:marTop w:val="0"/>
      <w:marBottom w:val="0"/>
      <w:divBdr>
        <w:top w:val="none" w:sz="0" w:space="0" w:color="auto"/>
        <w:left w:val="none" w:sz="0" w:space="0" w:color="auto"/>
        <w:bottom w:val="none" w:sz="0" w:space="0" w:color="auto"/>
        <w:right w:val="none" w:sz="0" w:space="0" w:color="auto"/>
      </w:divBdr>
    </w:div>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102921489">
      <w:bodyDiv w:val="1"/>
      <w:marLeft w:val="0"/>
      <w:marRight w:val="0"/>
      <w:marTop w:val="0"/>
      <w:marBottom w:val="0"/>
      <w:divBdr>
        <w:top w:val="none" w:sz="0" w:space="0" w:color="auto"/>
        <w:left w:val="none" w:sz="0" w:space="0" w:color="auto"/>
        <w:bottom w:val="none" w:sz="0" w:space="0" w:color="auto"/>
        <w:right w:val="none" w:sz="0" w:space="0" w:color="auto"/>
      </w:divBdr>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366099423">
      <w:bodyDiv w:val="1"/>
      <w:marLeft w:val="0"/>
      <w:marRight w:val="0"/>
      <w:marTop w:val="0"/>
      <w:marBottom w:val="0"/>
      <w:divBdr>
        <w:top w:val="none" w:sz="0" w:space="0" w:color="auto"/>
        <w:left w:val="none" w:sz="0" w:space="0" w:color="auto"/>
        <w:bottom w:val="none" w:sz="0" w:space="0" w:color="auto"/>
        <w:right w:val="none" w:sz="0" w:space="0" w:color="auto"/>
      </w:divBdr>
    </w:div>
    <w:div w:id="1415786664">
      <w:bodyDiv w:val="1"/>
      <w:marLeft w:val="0"/>
      <w:marRight w:val="0"/>
      <w:marTop w:val="0"/>
      <w:marBottom w:val="0"/>
      <w:divBdr>
        <w:top w:val="none" w:sz="0" w:space="0" w:color="auto"/>
        <w:left w:val="none" w:sz="0" w:space="0" w:color="auto"/>
        <w:bottom w:val="none" w:sz="0" w:space="0" w:color="auto"/>
        <w:right w:val="none" w:sz="0" w:space="0" w:color="auto"/>
      </w:divBdr>
    </w:div>
    <w:div w:id="1555585055">
      <w:bodyDiv w:val="1"/>
      <w:marLeft w:val="0"/>
      <w:marRight w:val="0"/>
      <w:marTop w:val="0"/>
      <w:marBottom w:val="0"/>
      <w:divBdr>
        <w:top w:val="none" w:sz="0" w:space="0" w:color="auto"/>
        <w:left w:val="none" w:sz="0" w:space="0" w:color="auto"/>
        <w:bottom w:val="none" w:sz="0" w:space="0" w:color="auto"/>
        <w:right w:val="none" w:sz="0" w:space="0" w:color="auto"/>
      </w:divBdr>
      <w:divsChild>
        <w:div w:id="818887986">
          <w:marLeft w:val="0"/>
          <w:marRight w:val="0"/>
          <w:marTop w:val="0"/>
          <w:marBottom w:val="0"/>
          <w:divBdr>
            <w:top w:val="none" w:sz="0" w:space="0" w:color="auto"/>
            <w:left w:val="none" w:sz="0" w:space="0" w:color="auto"/>
            <w:bottom w:val="none" w:sz="0" w:space="0" w:color="auto"/>
            <w:right w:val="none" w:sz="0" w:space="0" w:color="auto"/>
          </w:divBdr>
        </w:div>
        <w:div w:id="1098987220">
          <w:marLeft w:val="0"/>
          <w:marRight w:val="0"/>
          <w:marTop w:val="0"/>
          <w:marBottom w:val="0"/>
          <w:divBdr>
            <w:top w:val="none" w:sz="0" w:space="0" w:color="auto"/>
            <w:left w:val="none" w:sz="0" w:space="0" w:color="auto"/>
            <w:bottom w:val="none" w:sz="0" w:space="0" w:color="auto"/>
            <w:right w:val="none" w:sz="0" w:space="0" w:color="auto"/>
          </w:divBdr>
        </w:div>
        <w:div w:id="117651222">
          <w:marLeft w:val="0"/>
          <w:marRight w:val="0"/>
          <w:marTop w:val="0"/>
          <w:marBottom w:val="0"/>
          <w:divBdr>
            <w:top w:val="none" w:sz="0" w:space="0" w:color="auto"/>
            <w:left w:val="none" w:sz="0" w:space="0" w:color="auto"/>
            <w:bottom w:val="none" w:sz="0" w:space="0" w:color="auto"/>
            <w:right w:val="none" w:sz="0" w:space="0" w:color="auto"/>
          </w:divBdr>
        </w:div>
      </w:divsChild>
    </w:div>
    <w:div w:id="1773544992">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36282620">
      <w:bodyDiv w:val="1"/>
      <w:marLeft w:val="0"/>
      <w:marRight w:val="0"/>
      <w:marTop w:val="0"/>
      <w:marBottom w:val="0"/>
      <w:divBdr>
        <w:top w:val="none" w:sz="0" w:space="0" w:color="auto"/>
        <w:left w:val="none" w:sz="0" w:space="0" w:color="auto"/>
        <w:bottom w:val="none" w:sz="0" w:space="0" w:color="auto"/>
        <w:right w:val="none" w:sz="0" w:space="0" w:color="auto"/>
      </w:divBdr>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 w:id="2096004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ule-bw.de/faecher-und-schularten/sprachen-und-literatur/latein/antike-kultur/roemische-geschichte/daten/roemische-geschichte-tabelle.html" TargetMode="External"/><Relationship Id="rId18" Type="http://schemas.openxmlformats.org/officeDocument/2006/relationships/hyperlink" Target="https://de.wikipedia.org/wiki/Maximian" TargetMode="External"/><Relationship Id="rId26" Type="http://schemas.openxmlformats.org/officeDocument/2006/relationships/hyperlink" Target="https://www.wissen.de/bildwb/konstantin-der-grosse-kaiser-des-christentums" TargetMode="External"/><Relationship Id="rId39" Type="http://schemas.openxmlformats.org/officeDocument/2006/relationships/header" Target="header1.xml"/><Relationship Id="rId21" Type="http://schemas.openxmlformats.org/officeDocument/2006/relationships/hyperlink" Target="https://de.wikipedia.org/wiki/Galerius" TargetMode="External"/><Relationship Id="rId34" Type="http://schemas.openxmlformats.org/officeDocument/2006/relationships/hyperlink" Target="https://de.wikipedia.org/wiki/Schlacht_von_Adrianopel_(378)"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belwissenschaft.de/stichwort/100153/" TargetMode="External"/><Relationship Id="rId29" Type="http://schemas.openxmlformats.org/officeDocument/2006/relationships/hyperlink" Target="https://www.schule-bw.de/resolveuid/afa33234356044198ae10c4849d75f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faecher-und-schularten/sprachen-und-literatur/latein/antike-kultur/roemische-geschichte/hinweise/geschichte-rom-didaktik.html" TargetMode="External"/><Relationship Id="rId24" Type="http://schemas.openxmlformats.org/officeDocument/2006/relationships/hyperlink" Target="https://de.wikipedia.org/wiki/Konstantin_der_Gro%C3%9Fe" TargetMode="External"/><Relationship Id="rId32" Type="http://schemas.openxmlformats.org/officeDocument/2006/relationships/hyperlink" Target="https://www.schule-bw.de/resolveuid/e5ac099b80d241fdaf3186f6318dad11" TargetMode="External"/><Relationship Id="rId37" Type="http://schemas.openxmlformats.org/officeDocument/2006/relationships/hyperlink" Target="https://www.hengelhaupt.de/latein/lateinische-literatur.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Christenverfolgungen_im_R%C3%B6mischen_Reich" TargetMode="External"/><Relationship Id="rId23" Type="http://schemas.openxmlformats.org/officeDocument/2006/relationships/hyperlink" Target="http://www.rheinische-geschichte.lvr.de/Persoenlichkeiten/konstantin-der-grosse-/DE-2086/lido/57c938cbc9e970.47890855" TargetMode="External"/><Relationship Id="rId28" Type="http://schemas.openxmlformats.org/officeDocument/2006/relationships/hyperlink" Target="https://www.schule-bw.de/faecher-und-schularten/gesellschaftswissenschaftliche-und-philosophische-faecher/landeskunde-landesgeschichte/module/epochen/juden_in_bw/1700-jahre-juedisches-leben-in-deutschland" TargetMode="External"/><Relationship Id="rId36" Type="http://schemas.openxmlformats.org/officeDocument/2006/relationships/hyperlink" Target="https://www.dw.com/a-3840155" TargetMode="External"/><Relationship Id="rId10" Type="http://schemas.openxmlformats.org/officeDocument/2006/relationships/hyperlink" Target="https://www.schule-bw.de/resolveuid/0e029a78dedb41ba826998c9e1e3f247" TargetMode="External"/><Relationship Id="rId19" Type="http://schemas.openxmlformats.org/officeDocument/2006/relationships/hyperlink" Target="https://de.wikipedia.org/wiki/Galerius" TargetMode="External"/><Relationship Id="rId31" Type="http://schemas.openxmlformats.org/officeDocument/2006/relationships/hyperlink" Target="https://www.schule-bw.de/resolveuid/f31ef8e4bb1b475ba3a291dc58b8de6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hule-bw.de/faecher-und-schularten/sprachen-und-literatur/latein/antike-kultur/roemische-geschichte/downloadbereich" TargetMode="External"/><Relationship Id="rId14" Type="http://schemas.openxmlformats.org/officeDocument/2006/relationships/image" Target="media/image1.jpeg"/><Relationship Id="rId22" Type="http://schemas.openxmlformats.org/officeDocument/2006/relationships/hyperlink" Target="https://bkv.unifr.ch/works?authorName=Laktanz" TargetMode="External"/><Relationship Id="rId27" Type="http://schemas.openxmlformats.org/officeDocument/2006/relationships/hyperlink" Target="https://www.museivaticani.va/content/museivaticani/de/collezioni/musei/stanze-di-raffaello/sala-di-costantino/stanza-di-costantino.html" TargetMode="External"/><Relationship Id="rId30" Type="http://schemas.openxmlformats.org/officeDocument/2006/relationships/hyperlink" Target="https://de.wikipedia.org/wiki/Erstes_Konzil_von_Nic%C3%A4a" TargetMode="External"/><Relationship Id="rId35" Type="http://schemas.openxmlformats.org/officeDocument/2006/relationships/hyperlink" Target="https://zukunftkirche.wordpress.com/2013/05/07/das-christentum-wird-staatsreligion-das-edikt-von-kaiser-theodosius-i-27-02-380" TargetMode="External"/><Relationship Id="rId43" Type="http://schemas.openxmlformats.org/officeDocument/2006/relationships/header" Target="header3.xml"/><Relationship Id="rId8" Type="http://schemas.openxmlformats.org/officeDocument/2006/relationships/hyperlink" Target="https://www.schule-bw.de/faecher-und-schularten/sprachen-und-literatur/latein/antike-kultur/roemische-geschichte/daten/roemische-geschichte-tabelle.html" TargetMode="External"/><Relationship Id="rId3" Type="http://schemas.openxmlformats.org/officeDocument/2006/relationships/styles" Target="styles.xml"/><Relationship Id="rId12" Type="http://schemas.openxmlformats.org/officeDocument/2006/relationships/hyperlink" Target="https://www.schule-bw.de/resolveuid/162755b572df4167b88e15eef2c95f34" TargetMode="External"/><Relationship Id="rId17" Type="http://schemas.openxmlformats.org/officeDocument/2006/relationships/hyperlink" Target="https://de.wikipedia.org/wiki/Diokletian" TargetMode="External"/><Relationship Id="rId25" Type="http://schemas.openxmlformats.org/officeDocument/2006/relationships/hyperlink" Target="https://www.planet-wissen.de/kultur/religion/das_christentum/pwiekonstantindergrossedererstechristlichekaiser100.html" TargetMode="External"/><Relationship Id="rId33" Type="http://schemas.openxmlformats.org/officeDocument/2006/relationships/hyperlink" Target="/resolveuid/e5ac099b80d241fdaf3186f6318dad11" TargetMode="External"/><Relationship Id="rId38" Type="http://schemas.openxmlformats.org/officeDocument/2006/relationships/hyperlink" Target="/resolveuid/aa7cc3224a404234b35bcfdaa6c0c7e9" TargetMode="External"/><Relationship Id="rId46" Type="http://schemas.openxmlformats.org/officeDocument/2006/relationships/theme" Target="theme/theme1.xml"/><Relationship Id="rId20" Type="http://schemas.openxmlformats.org/officeDocument/2006/relationships/hyperlink" Target="https://de.wikipedia.org/wiki/Constantius_I."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Mail%C3%A4nder_Vereinbarung" TargetMode="External"/><Relationship Id="rId2" Type="http://schemas.openxmlformats.org/officeDocument/2006/relationships/hyperlink" Target="https://www.hs-augsburg.de/~harsch/Chronologia/Lspost04/Lactantius/lac_mort.html" TargetMode="External"/><Relationship Id="rId1" Type="http://schemas.openxmlformats.org/officeDocument/2006/relationships/hyperlink" Target="https://bkv.unifr.ch/works/109/versions/127/divisions/49418" TargetMode="External"/><Relationship Id="rId5" Type="http://schemas.openxmlformats.org/officeDocument/2006/relationships/hyperlink" Target="https://doi.org/10.11588/vuf.2009.0.18010" TargetMode="External"/><Relationship Id="rId4" Type="http://schemas.openxmlformats.org/officeDocument/2006/relationships/hyperlink" Target="http://www.hsozkult.de/publicationreview/id/reb-2853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km-bw.de/" TargetMode="External"/><Relationship Id="rId2" Type="http://schemas.openxmlformats.org/officeDocument/2006/relationships/image" Target="media/image2.jpg"/><Relationship Id="rId1" Type="http://schemas.openxmlformats.org/officeDocument/2006/relationships/hyperlink" Target="https://ibbw.kultus-bw.de/" TargetMode="External"/><Relationship Id="rId6" Type="http://schemas.openxmlformats.org/officeDocument/2006/relationships/image" Target="media/image4.jpg"/><Relationship Id="rId5" Type="http://schemas.openxmlformats.org/officeDocument/2006/relationships/hyperlink" Target="https://www.schule-bw.de/"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landesbildungsserver-2022\lbs-dateien%20neu\vorlagen\uebersetzung-mit-hilfen-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8454-7ADC-4AA2-AADC-0FC142D0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uebersetzung-mit-hilfen-word.dotx</Template>
  <TotalTime>0</TotalTime>
  <Pages>8</Pages>
  <Words>2406</Words>
  <Characters>15164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Römische Geschichte 235 n. Chr. bis 410 n. Chr.</dc:title>
  <dc:subject/>
  <dc:creator/>
  <cp:keywords/>
  <cp:lastModifiedBy/>
  <cp:revision>1</cp:revision>
  <dcterms:created xsi:type="dcterms:W3CDTF">2022-07-30T11:06:00Z</dcterms:created>
  <dcterms:modified xsi:type="dcterms:W3CDTF">2022-07-30T11:06:00Z</dcterms:modified>
</cp:coreProperties>
</file>