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r w:rsidRPr="00571127">
        <w:rPr>
          <w:rFonts w:cs="Arial"/>
          <w:b/>
          <w:sz w:val="28"/>
          <w:szCs w:val="20"/>
        </w:rPr>
        <w:t>Lernsituation „</w:t>
      </w:r>
      <w:r w:rsidR="00F921DA">
        <w:rPr>
          <w:rFonts w:cs="Arial"/>
          <w:b/>
          <w:sz w:val="28"/>
          <w:szCs w:val="20"/>
        </w:rPr>
        <w:t>Kaufabschluss herbeiführen</w:t>
      </w:r>
      <w:r w:rsidRPr="00571127">
        <w:rPr>
          <w:rFonts w:cs="Arial"/>
          <w:b/>
          <w:sz w:val="28"/>
          <w:szCs w:val="20"/>
        </w:rPr>
        <w:t>“</w:t>
      </w:r>
    </w:p>
    <w:p w:rsidR="00482664" w:rsidRDefault="00482664" w:rsidP="000F593D">
      <w:pPr>
        <w:widowControl/>
        <w:tabs>
          <w:tab w:val="left" w:pos="6096"/>
        </w:tabs>
        <w:autoSpaceDE/>
        <w:autoSpaceDN/>
        <w:adjustRightInd/>
        <w:rPr>
          <w:rFonts w:asciiTheme="minorHAnsi" w:hAnsiTheme="minorHAnsi" w:cstheme="minorHAnsi"/>
        </w:rPr>
      </w:pPr>
    </w:p>
    <w:p w:rsidR="00482664" w:rsidRPr="00571127" w:rsidRDefault="00482664" w:rsidP="00165DEB">
      <w:pPr>
        <w:widowControl/>
        <w:pBdr>
          <w:top w:val="single" w:sz="4" w:space="1" w:color="auto"/>
          <w:left w:val="single" w:sz="4" w:space="2"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Default="00482664" w:rsidP="000F593D">
      <w:pPr>
        <w:widowControl/>
        <w:tabs>
          <w:tab w:val="left" w:pos="6096"/>
        </w:tabs>
        <w:autoSpaceDE/>
        <w:autoSpaceDN/>
        <w:adjustRightInd/>
        <w:rPr>
          <w:rFonts w:asciiTheme="minorHAnsi" w:hAnsiTheme="minorHAnsi" w:cstheme="minorHAnsi"/>
        </w:rPr>
      </w:pPr>
      <w:bookmarkStart w:id="0" w:name="_GoBack"/>
      <w:bookmarkEnd w:id="0"/>
    </w:p>
    <w:p w:rsidR="00F921DA" w:rsidRDefault="000F593D" w:rsidP="00F921DA">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 </w:t>
      </w:r>
      <w:r w:rsidR="00F921DA">
        <w:rPr>
          <w:rFonts w:cs="Arial"/>
          <w:sz w:val="22"/>
        </w:rPr>
        <w:t>6</w:t>
      </w:r>
      <w:r w:rsidRPr="00571127">
        <w:rPr>
          <w:rFonts w:cs="Arial"/>
          <w:sz w:val="22"/>
        </w:rPr>
        <w:t>:</w:t>
      </w:r>
    </w:p>
    <w:p w:rsidR="00F921DA" w:rsidRDefault="00F921DA" w:rsidP="00F921DA">
      <w:pPr>
        <w:widowControl/>
        <w:tabs>
          <w:tab w:val="left" w:pos="6096"/>
        </w:tabs>
        <w:autoSpaceDE/>
        <w:autoSpaceDN/>
        <w:adjustRightInd/>
        <w:rPr>
          <w:rFonts w:cs="Arial"/>
          <w:sz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6"/>
        <w:gridCol w:w="5655"/>
      </w:tblGrid>
      <w:tr w:rsidR="00F921DA" w:rsidRPr="00F921DA" w:rsidTr="00F921DA">
        <w:trPr>
          <w:trHeight w:val="324"/>
        </w:trPr>
        <w:tc>
          <w:tcPr>
            <w:tcW w:w="2255" w:type="pct"/>
            <w:tcBorders>
              <w:bottom w:val="single" w:sz="4" w:space="0" w:color="auto"/>
            </w:tcBorders>
            <w:shd w:val="clear" w:color="auto" w:fill="D9D9D9"/>
            <w:vAlign w:val="center"/>
          </w:tcPr>
          <w:p w:rsidR="00F921DA" w:rsidRPr="00F921DA" w:rsidRDefault="00F921DA" w:rsidP="00F921DA">
            <w:pPr>
              <w:widowControl/>
              <w:autoSpaceDE/>
              <w:autoSpaceDN/>
              <w:adjustRightInd/>
              <w:jc w:val="center"/>
              <w:rPr>
                <w:rFonts w:cs="Arial"/>
              </w:rPr>
            </w:pPr>
            <w:r w:rsidRPr="00F921DA">
              <w:rPr>
                <w:rFonts w:cs="Arial"/>
                <w:b/>
                <w:bCs/>
              </w:rPr>
              <w:t>Bildungsplan</w:t>
            </w:r>
            <w:r w:rsidRPr="00F921DA">
              <w:rPr>
                <w:rFonts w:cs="Arial"/>
                <w:sz w:val="22"/>
                <w:szCs w:val="22"/>
                <w:vertAlign w:val="superscript"/>
              </w:rPr>
              <w:footnoteReference w:id="1"/>
            </w:r>
          </w:p>
        </w:tc>
        <w:tc>
          <w:tcPr>
            <w:tcW w:w="2745" w:type="pct"/>
            <w:tcBorders>
              <w:bottom w:val="single" w:sz="4" w:space="0" w:color="auto"/>
            </w:tcBorders>
            <w:shd w:val="clear" w:color="auto" w:fill="D9D9D9"/>
            <w:vAlign w:val="center"/>
          </w:tcPr>
          <w:p w:rsidR="00F921DA" w:rsidRPr="00F921DA" w:rsidRDefault="00F921DA" w:rsidP="00F921DA">
            <w:pPr>
              <w:widowControl/>
              <w:tabs>
                <w:tab w:val="right" w:pos="9498"/>
              </w:tabs>
              <w:autoSpaceDE/>
              <w:autoSpaceDN/>
              <w:adjustRightInd/>
              <w:ind w:right="-300"/>
              <w:jc w:val="center"/>
              <w:rPr>
                <w:rFonts w:cs="Arial"/>
                <w:b/>
                <w:bCs/>
              </w:rPr>
            </w:pPr>
            <w:r w:rsidRPr="00F921DA">
              <w:rPr>
                <w:rFonts w:cs="Arial"/>
                <w:b/>
                <w:bCs/>
              </w:rPr>
              <w:t>didaktisch-methodische Analyse</w:t>
            </w:r>
          </w:p>
        </w:tc>
      </w:tr>
    </w:tbl>
    <w:p w:rsidR="00F921DA" w:rsidRPr="00F921DA" w:rsidRDefault="00F921DA" w:rsidP="00F921DA">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4"/>
        <w:gridCol w:w="1409"/>
        <w:gridCol w:w="1273"/>
        <w:gridCol w:w="1450"/>
        <w:gridCol w:w="1275"/>
        <w:gridCol w:w="1560"/>
        <w:gridCol w:w="851"/>
        <w:gridCol w:w="519"/>
      </w:tblGrid>
      <w:tr w:rsidR="00F921DA" w:rsidRPr="00F921DA" w:rsidTr="00F921DA">
        <w:trPr>
          <w:trHeight w:val="267"/>
          <w:tblHeader/>
        </w:trPr>
        <w:tc>
          <w:tcPr>
            <w:tcW w:w="953"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kompetenzbasierte Ziele</w:t>
            </w:r>
          </w:p>
        </w:tc>
        <w:tc>
          <w:tcPr>
            <w:tcW w:w="684"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 xml:space="preserve">Inhalte </w:t>
            </w:r>
          </w:p>
        </w:tc>
        <w:tc>
          <w:tcPr>
            <w:tcW w:w="618"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Hinweise</w:t>
            </w:r>
          </w:p>
        </w:tc>
        <w:tc>
          <w:tcPr>
            <w:tcW w:w="704"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Lernsituation</w:t>
            </w:r>
          </w:p>
        </w:tc>
        <w:tc>
          <w:tcPr>
            <w:tcW w:w="619"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Handlungs-</w:t>
            </w:r>
          </w:p>
          <w:p w:rsidR="00F921DA" w:rsidRPr="00F921DA" w:rsidRDefault="00F921DA" w:rsidP="00F921DA">
            <w:pPr>
              <w:widowControl/>
              <w:autoSpaceDE/>
              <w:autoSpaceDN/>
              <w:adjustRightInd/>
              <w:rPr>
                <w:rFonts w:cs="Arial"/>
                <w:b/>
                <w:bCs/>
                <w:sz w:val="20"/>
                <w:szCs w:val="20"/>
              </w:rPr>
            </w:pPr>
            <w:r w:rsidRPr="00F921DA">
              <w:rPr>
                <w:rFonts w:cs="Arial"/>
                <w:b/>
                <w:bCs/>
                <w:sz w:val="20"/>
                <w:szCs w:val="20"/>
              </w:rPr>
              <w:t>ergebnis</w:t>
            </w:r>
          </w:p>
        </w:tc>
        <w:tc>
          <w:tcPr>
            <w:tcW w:w="757"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 xml:space="preserve">überfachliche </w:t>
            </w:r>
          </w:p>
          <w:p w:rsidR="00F921DA" w:rsidRPr="00F921DA" w:rsidRDefault="00F921DA" w:rsidP="00F921DA">
            <w:pPr>
              <w:widowControl/>
              <w:autoSpaceDE/>
              <w:autoSpaceDN/>
              <w:adjustRightInd/>
              <w:rPr>
                <w:rFonts w:cs="Arial"/>
                <w:b/>
                <w:bCs/>
                <w:sz w:val="20"/>
                <w:szCs w:val="20"/>
              </w:rPr>
            </w:pPr>
            <w:r w:rsidRPr="00F921DA">
              <w:rPr>
                <w:rFonts w:cs="Arial"/>
                <w:b/>
                <w:bCs/>
                <w:sz w:val="20"/>
                <w:szCs w:val="20"/>
              </w:rPr>
              <w:t>Kompetenzen</w:t>
            </w:r>
          </w:p>
        </w:tc>
        <w:tc>
          <w:tcPr>
            <w:tcW w:w="413" w:type="pct"/>
            <w:tcBorders>
              <w:bottom w:val="single" w:sz="18" w:space="0" w:color="auto"/>
            </w:tcBorders>
            <w:shd w:val="clear" w:color="auto" w:fill="D9D9D9"/>
            <w:vAlign w:val="center"/>
          </w:tcPr>
          <w:p w:rsidR="00F921DA" w:rsidRPr="00F921DA" w:rsidRDefault="00F921DA" w:rsidP="00F921DA">
            <w:pPr>
              <w:widowControl/>
              <w:autoSpaceDE/>
              <w:autoSpaceDN/>
              <w:adjustRightInd/>
              <w:rPr>
                <w:rFonts w:cs="Arial"/>
                <w:b/>
                <w:bCs/>
                <w:sz w:val="20"/>
                <w:szCs w:val="20"/>
              </w:rPr>
            </w:pPr>
            <w:r w:rsidRPr="00F921DA">
              <w:rPr>
                <w:rFonts w:cs="Arial"/>
                <w:b/>
                <w:bCs/>
                <w:sz w:val="20"/>
                <w:szCs w:val="20"/>
              </w:rPr>
              <w:t>Hinweise</w:t>
            </w:r>
          </w:p>
        </w:tc>
        <w:tc>
          <w:tcPr>
            <w:tcW w:w="252" w:type="pct"/>
            <w:tcBorders>
              <w:bottom w:val="single" w:sz="18" w:space="0" w:color="auto"/>
            </w:tcBorders>
            <w:shd w:val="clear" w:color="auto" w:fill="D9D9D9"/>
            <w:vAlign w:val="center"/>
          </w:tcPr>
          <w:p w:rsidR="00F921DA" w:rsidRPr="00F921DA" w:rsidRDefault="00F921DA" w:rsidP="00F921DA">
            <w:pPr>
              <w:widowControl/>
              <w:autoSpaceDE/>
              <w:autoSpaceDN/>
              <w:adjustRightInd/>
              <w:jc w:val="right"/>
              <w:rPr>
                <w:rFonts w:cs="Arial"/>
                <w:b/>
                <w:bCs/>
                <w:sz w:val="20"/>
                <w:szCs w:val="20"/>
              </w:rPr>
            </w:pPr>
            <w:r w:rsidRPr="00F921DA">
              <w:rPr>
                <w:rFonts w:cs="Arial"/>
                <w:b/>
                <w:bCs/>
                <w:sz w:val="20"/>
                <w:szCs w:val="20"/>
              </w:rPr>
              <w:t>Zeit</w:t>
            </w:r>
          </w:p>
        </w:tc>
      </w:tr>
      <w:tr w:rsidR="00F921DA" w:rsidRPr="00F921DA" w:rsidTr="00F921DA">
        <w:trPr>
          <w:trHeight w:val="1752"/>
        </w:trPr>
        <w:tc>
          <w:tcPr>
            <w:tcW w:w="953" w:type="pct"/>
            <w:shd w:val="clear" w:color="auto" w:fill="auto"/>
          </w:tcPr>
          <w:p w:rsidR="00F921DA" w:rsidRDefault="00F921DA" w:rsidP="00F921DA">
            <w:pPr>
              <w:widowControl/>
              <w:autoSpaceDE/>
              <w:autoSpaceDN/>
              <w:adjustRightInd/>
              <w:spacing w:before="20" w:after="20"/>
              <w:rPr>
                <w:rFonts w:cs="Arial"/>
                <w:sz w:val="20"/>
                <w:szCs w:val="20"/>
              </w:rPr>
            </w:pPr>
            <w:r>
              <w:rPr>
                <w:rFonts w:cs="Arial"/>
                <w:sz w:val="20"/>
                <w:szCs w:val="20"/>
              </w:rPr>
              <w:t>[…]</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Sie begegnen Problemen in der Kaufabschlussphase mit geeigneten Abschlusstechniken und verabschieden den Kunden. […]</w:t>
            </w:r>
          </w:p>
        </w:tc>
        <w:tc>
          <w:tcPr>
            <w:tcW w:w="684" w:type="pct"/>
            <w:shd w:val="clear" w:color="auto" w:fill="auto"/>
          </w:tcPr>
          <w:p w:rsidR="00F921DA" w:rsidRDefault="00F921DA" w:rsidP="00F921DA">
            <w:pPr>
              <w:widowControl/>
              <w:tabs>
                <w:tab w:val="right" w:pos="9498"/>
              </w:tabs>
              <w:autoSpaceDE/>
              <w:autoSpaceDN/>
              <w:adjustRightInd/>
              <w:rPr>
                <w:rFonts w:cs="Arial"/>
                <w:sz w:val="20"/>
                <w:szCs w:val="20"/>
              </w:rPr>
            </w:pPr>
          </w:p>
          <w:p w:rsidR="00F921DA" w:rsidRPr="00F921DA" w:rsidRDefault="00F921DA" w:rsidP="00F921DA">
            <w:pPr>
              <w:widowControl/>
              <w:tabs>
                <w:tab w:val="right" w:pos="9498"/>
              </w:tabs>
              <w:autoSpaceDE/>
              <w:autoSpaceDN/>
              <w:adjustRightInd/>
              <w:rPr>
                <w:rFonts w:cs="Arial"/>
                <w:sz w:val="20"/>
                <w:szCs w:val="20"/>
              </w:rPr>
            </w:pPr>
            <w:r w:rsidRPr="00F921DA">
              <w:rPr>
                <w:rFonts w:cs="Arial"/>
                <w:sz w:val="20"/>
                <w:szCs w:val="20"/>
              </w:rPr>
              <w:t>Kaufabschluss</w:t>
            </w:r>
          </w:p>
          <w:p w:rsidR="00F921DA" w:rsidRPr="00F921DA" w:rsidRDefault="00F921DA" w:rsidP="00F921DA">
            <w:pPr>
              <w:widowControl/>
              <w:numPr>
                <w:ilvl w:val="0"/>
                <w:numId w:val="15"/>
              </w:numPr>
              <w:tabs>
                <w:tab w:val="right" w:pos="9498"/>
              </w:tabs>
              <w:autoSpaceDE/>
              <w:autoSpaceDN/>
              <w:adjustRightInd/>
              <w:ind w:left="213" w:hanging="213"/>
              <w:rPr>
                <w:rFonts w:cs="Arial"/>
                <w:sz w:val="20"/>
                <w:szCs w:val="20"/>
              </w:rPr>
            </w:pPr>
            <w:r w:rsidRPr="00F921DA">
              <w:rPr>
                <w:rFonts w:cs="Arial"/>
                <w:sz w:val="20"/>
                <w:szCs w:val="20"/>
              </w:rPr>
              <w:t>Abschlusssignale des Kunden</w:t>
            </w:r>
          </w:p>
          <w:p w:rsidR="00F921DA" w:rsidRPr="00F921DA" w:rsidRDefault="00F921DA" w:rsidP="00F921DA">
            <w:pPr>
              <w:widowControl/>
              <w:numPr>
                <w:ilvl w:val="0"/>
                <w:numId w:val="15"/>
              </w:numPr>
              <w:tabs>
                <w:tab w:val="right" w:pos="9498"/>
              </w:tabs>
              <w:autoSpaceDE/>
              <w:autoSpaceDN/>
              <w:adjustRightInd/>
              <w:ind w:left="213" w:hanging="213"/>
              <w:rPr>
                <w:rFonts w:cs="Arial"/>
                <w:sz w:val="20"/>
                <w:szCs w:val="20"/>
              </w:rPr>
            </w:pPr>
            <w:r w:rsidRPr="00F921DA">
              <w:rPr>
                <w:rFonts w:cs="Arial"/>
                <w:sz w:val="20"/>
                <w:szCs w:val="20"/>
              </w:rPr>
              <w:t>Abschlusstechniken</w:t>
            </w:r>
          </w:p>
          <w:p w:rsidR="00F921DA" w:rsidRPr="00F921DA" w:rsidRDefault="00F921DA" w:rsidP="00F921DA">
            <w:pPr>
              <w:widowControl/>
              <w:numPr>
                <w:ilvl w:val="0"/>
                <w:numId w:val="15"/>
              </w:numPr>
              <w:tabs>
                <w:tab w:val="right" w:pos="9498"/>
              </w:tabs>
              <w:autoSpaceDE/>
              <w:autoSpaceDN/>
              <w:adjustRightInd/>
              <w:ind w:left="213" w:hanging="213"/>
              <w:rPr>
                <w:rFonts w:cs="Arial"/>
                <w:sz w:val="20"/>
                <w:szCs w:val="20"/>
              </w:rPr>
            </w:pPr>
            <w:r w:rsidRPr="00F921DA">
              <w:rPr>
                <w:rFonts w:cs="Arial"/>
                <w:sz w:val="20"/>
                <w:szCs w:val="20"/>
              </w:rPr>
              <w:t>Abschlussverstärker</w:t>
            </w:r>
          </w:p>
        </w:tc>
        <w:tc>
          <w:tcPr>
            <w:tcW w:w="618" w:type="pct"/>
          </w:tcPr>
          <w:p w:rsidR="00F921DA" w:rsidRPr="00F921DA" w:rsidRDefault="00F921DA" w:rsidP="00F921DA">
            <w:pPr>
              <w:widowControl/>
              <w:autoSpaceDE/>
              <w:autoSpaceDN/>
              <w:adjustRightInd/>
              <w:rPr>
                <w:rFonts w:cs="Arial"/>
                <w:sz w:val="20"/>
                <w:szCs w:val="20"/>
              </w:rPr>
            </w:pPr>
          </w:p>
          <w:p w:rsidR="00F921DA" w:rsidRPr="00F921DA" w:rsidRDefault="00F921DA" w:rsidP="00F921DA">
            <w:pPr>
              <w:widowControl/>
              <w:autoSpaceDE/>
              <w:autoSpaceDN/>
              <w:adjustRightInd/>
              <w:rPr>
                <w:rFonts w:cs="Arial"/>
                <w:sz w:val="20"/>
                <w:szCs w:val="20"/>
              </w:rPr>
            </w:pPr>
          </w:p>
          <w:p w:rsidR="00F921DA" w:rsidRDefault="00F921DA" w:rsidP="00F921DA">
            <w:pPr>
              <w:widowControl/>
              <w:autoSpaceDE/>
              <w:autoSpaceDN/>
              <w:adjustRightInd/>
              <w:rPr>
                <w:rFonts w:cs="Arial"/>
                <w:sz w:val="20"/>
                <w:szCs w:val="20"/>
              </w:rPr>
            </w:pPr>
          </w:p>
          <w:p w:rsidR="00F921DA" w:rsidRDefault="00F921DA" w:rsidP="00F921DA">
            <w:pPr>
              <w:widowControl/>
              <w:autoSpaceDE/>
              <w:autoSpaceDN/>
              <w:adjustRightInd/>
              <w:rPr>
                <w:rFonts w:cs="Arial"/>
                <w:sz w:val="20"/>
                <w:szCs w:val="20"/>
              </w:rPr>
            </w:pPr>
          </w:p>
          <w:p w:rsidR="00F921DA" w:rsidRDefault="00F921DA" w:rsidP="00F921DA">
            <w:pPr>
              <w:widowControl/>
              <w:autoSpaceDE/>
              <w:autoSpaceDN/>
              <w:adjustRightInd/>
              <w:rPr>
                <w:rFonts w:cs="Arial"/>
                <w:sz w:val="20"/>
                <w:szCs w:val="20"/>
              </w:rPr>
            </w:pPr>
          </w:p>
          <w:p w:rsidR="00F921DA" w:rsidRPr="00F921DA" w:rsidRDefault="00F921DA" w:rsidP="00F921DA">
            <w:pPr>
              <w:widowControl/>
              <w:autoSpaceDE/>
              <w:autoSpaceDN/>
              <w:adjustRightInd/>
              <w:rPr>
                <w:rFonts w:cs="Arial"/>
                <w:sz w:val="20"/>
                <w:szCs w:val="20"/>
              </w:rPr>
            </w:pPr>
          </w:p>
          <w:p w:rsidR="00F921DA" w:rsidRPr="00F921DA" w:rsidRDefault="00F921DA" w:rsidP="00F921DA">
            <w:pPr>
              <w:widowControl/>
              <w:autoSpaceDE/>
              <w:autoSpaceDN/>
              <w:adjustRightInd/>
              <w:rPr>
                <w:rFonts w:cs="Arial"/>
                <w:sz w:val="20"/>
                <w:szCs w:val="20"/>
              </w:rPr>
            </w:pPr>
            <w:r w:rsidRPr="00F921DA">
              <w:rPr>
                <w:rFonts w:cs="Arial"/>
                <w:sz w:val="20"/>
                <w:szCs w:val="20"/>
              </w:rPr>
              <w:t>auch Alternativfragen</w:t>
            </w:r>
          </w:p>
        </w:tc>
        <w:tc>
          <w:tcPr>
            <w:tcW w:w="704" w:type="pct"/>
            <w:shd w:val="clear" w:color="auto" w:fill="auto"/>
          </w:tcPr>
          <w:p w:rsidR="00F921DA" w:rsidRDefault="00F921DA" w:rsidP="00F921DA">
            <w:pPr>
              <w:widowControl/>
              <w:autoSpaceDE/>
              <w:autoSpaceDN/>
              <w:adjustRightInd/>
              <w:spacing w:before="20" w:after="20"/>
              <w:rPr>
                <w:rFonts w:cs="Arial"/>
                <w:b/>
                <w:sz w:val="20"/>
                <w:szCs w:val="20"/>
              </w:rPr>
            </w:pPr>
          </w:p>
          <w:p w:rsidR="00F921DA" w:rsidRPr="00F921DA" w:rsidRDefault="00F921DA" w:rsidP="00F921DA">
            <w:pPr>
              <w:widowControl/>
              <w:autoSpaceDE/>
              <w:autoSpaceDN/>
              <w:adjustRightInd/>
              <w:spacing w:before="20" w:after="20"/>
              <w:rPr>
                <w:rFonts w:cs="Arial"/>
                <w:b/>
                <w:sz w:val="20"/>
                <w:szCs w:val="20"/>
              </w:rPr>
            </w:pPr>
            <w:r w:rsidRPr="00F921DA">
              <w:rPr>
                <w:rFonts w:cs="Arial"/>
                <w:b/>
                <w:sz w:val="20"/>
                <w:szCs w:val="20"/>
              </w:rPr>
              <w:t>LS Kaufabschluss herbeiführen</w:t>
            </w:r>
          </w:p>
        </w:tc>
        <w:tc>
          <w:tcPr>
            <w:tcW w:w="619" w:type="pct"/>
            <w:shd w:val="clear" w:color="auto" w:fill="auto"/>
          </w:tcPr>
          <w:p w:rsidR="00F921DA" w:rsidRDefault="00F921DA" w:rsidP="00F921DA">
            <w:pPr>
              <w:widowControl/>
              <w:autoSpaceDE/>
              <w:autoSpaceDN/>
              <w:adjustRightInd/>
              <w:spacing w:before="20" w:after="20"/>
              <w:rPr>
                <w:rFonts w:cs="Arial"/>
                <w:sz w:val="20"/>
                <w:szCs w:val="20"/>
              </w:rPr>
            </w:pP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Verkaufsgespräche</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Mitarbeiterhandbuch</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Vortrag</w:t>
            </w:r>
          </w:p>
        </w:tc>
        <w:tc>
          <w:tcPr>
            <w:tcW w:w="757" w:type="pct"/>
            <w:shd w:val="clear" w:color="auto" w:fill="auto"/>
          </w:tcPr>
          <w:p w:rsidR="00F921DA" w:rsidRDefault="00F921DA" w:rsidP="00F921DA">
            <w:pPr>
              <w:widowControl/>
              <w:autoSpaceDE/>
              <w:autoSpaceDN/>
              <w:adjustRightInd/>
              <w:spacing w:before="20" w:after="20"/>
              <w:rPr>
                <w:rFonts w:cs="Arial"/>
                <w:sz w:val="20"/>
                <w:szCs w:val="20"/>
              </w:rPr>
            </w:pP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Informationen strukturieren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Probleme erkennen und zur Lösung beitragen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begründet vorgehen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Entscheidungen treffen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unterschiedliche Standpunkte tolerieren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empathisch vorgehen</w:t>
            </w: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 xml:space="preserve">sachlich argumentieren </w:t>
            </w:r>
          </w:p>
        </w:tc>
        <w:tc>
          <w:tcPr>
            <w:tcW w:w="413" w:type="pct"/>
            <w:shd w:val="clear" w:color="auto" w:fill="auto"/>
          </w:tcPr>
          <w:p w:rsidR="00F921DA" w:rsidRDefault="00F921DA" w:rsidP="00F921DA">
            <w:pPr>
              <w:widowControl/>
              <w:autoSpaceDE/>
              <w:autoSpaceDN/>
              <w:adjustRightInd/>
              <w:spacing w:before="20" w:after="20"/>
              <w:rPr>
                <w:rFonts w:cs="Arial"/>
                <w:sz w:val="20"/>
                <w:szCs w:val="20"/>
              </w:rPr>
            </w:pPr>
          </w:p>
          <w:p w:rsidR="00F921DA" w:rsidRPr="00F921DA" w:rsidRDefault="00F921DA" w:rsidP="00F921DA">
            <w:pPr>
              <w:widowControl/>
              <w:autoSpaceDE/>
              <w:autoSpaceDN/>
              <w:adjustRightInd/>
              <w:spacing w:before="20" w:after="20"/>
              <w:rPr>
                <w:rFonts w:cs="Arial"/>
                <w:sz w:val="20"/>
                <w:szCs w:val="20"/>
              </w:rPr>
            </w:pPr>
            <w:r w:rsidRPr="00F921DA">
              <w:rPr>
                <w:rFonts w:cs="Arial"/>
                <w:sz w:val="20"/>
                <w:szCs w:val="20"/>
              </w:rPr>
              <w:t>Rollenspiele</w:t>
            </w:r>
          </w:p>
        </w:tc>
        <w:tc>
          <w:tcPr>
            <w:tcW w:w="252" w:type="pct"/>
            <w:shd w:val="clear" w:color="auto" w:fill="auto"/>
          </w:tcPr>
          <w:p w:rsidR="00F921DA" w:rsidRDefault="00F921DA" w:rsidP="00F921DA">
            <w:pPr>
              <w:widowControl/>
              <w:autoSpaceDE/>
              <w:autoSpaceDN/>
              <w:adjustRightInd/>
              <w:spacing w:before="20" w:after="20"/>
              <w:jc w:val="right"/>
              <w:rPr>
                <w:rFonts w:cs="Arial"/>
                <w:sz w:val="20"/>
                <w:szCs w:val="20"/>
              </w:rPr>
            </w:pPr>
          </w:p>
          <w:p w:rsidR="00F921DA" w:rsidRPr="00F921DA" w:rsidRDefault="00F921DA" w:rsidP="00F921DA">
            <w:pPr>
              <w:widowControl/>
              <w:autoSpaceDE/>
              <w:autoSpaceDN/>
              <w:adjustRightInd/>
              <w:spacing w:before="20" w:after="20"/>
              <w:jc w:val="right"/>
              <w:rPr>
                <w:rFonts w:cs="Arial"/>
                <w:sz w:val="20"/>
                <w:szCs w:val="20"/>
              </w:rPr>
            </w:pPr>
            <w:r w:rsidRPr="00F921DA">
              <w:rPr>
                <w:rFonts w:cs="Arial"/>
                <w:sz w:val="20"/>
                <w:szCs w:val="20"/>
              </w:rPr>
              <w:t>03</w:t>
            </w:r>
          </w:p>
        </w:tc>
      </w:tr>
    </w:tbl>
    <w:p w:rsidR="005C6E32" w:rsidRDefault="00F921DA" w:rsidP="00F921DA">
      <w:pPr>
        <w:widowControl/>
        <w:tabs>
          <w:tab w:val="left" w:pos="6096"/>
        </w:tabs>
        <w:autoSpaceDE/>
        <w:autoSpaceDN/>
        <w:adjustRightInd/>
        <w:rPr>
          <w:rFonts w:cs="Arial"/>
          <w:sz w:val="22"/>
        </w:rPr>
      </w:pPr>
      <w:r>
        <w:rPr>
          <w:rFonts w:cs="Arial"/>
          <w:sz w:val="22"/>
        </w:rPr>
        <w:t xml:space="preserve"> </w:t>
      </w:r>
    </w:p>
    <w:p w:rsidR="00F921DA" w:rsidRPr="00F921DA" w:rsidRDefault="00F921DA" w:rsidP="00F921DA">
      <w:pPr>
        <w:rPr>
          <w:rFonts w:ascii="Times New Roman" w:hAnsi="Times New Roman"/>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8325"/>
      </w:tblGrid>
      <w:tr w:rsidR="00F921DA" w:rsidRPr="00F921DA" w:rsidTr="00F921DA">
        <w:trPr>
          <w:trHeight w:val="446"/>
        </w:trPr>
        <w:tc>
          <w:tcPr>
            <w:tcW w:w="10348"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F921DA" w:rsidRPr="00F921DA" w:rsidRDefault="00F921DA" w:rsidP="00F921DA">
            <w:pPr>
              <w:widowControl/>
              <w:autoSpaceDE/>
              <w:autoSpaceDN/>
              <w:adjustRightInd/>
              <w:spacing w:line="240" w:lineRule="exact"/>
              <w:ind w:left="720" w:hanging="720"/>
              <w:jc w:val="center"/>
              <w:rPr>
                <w:rFonts w:eastAsia="Calibri" w:cs="Arial"/>
                <w:b/>
                <w:sz w:val="22"/>
                <w:szCs w:val="22"/>
                <w:lang w:eastAsia="en-US"/>
              </w:rPr>
            </w:pPr>
            <w:r w:rsidRPr="00F921DA">
              <w:rPr>
                <w:rFonts w:eastAsia="Calibri" w:cs="Arial"/>
                <w:b/>
                <w:sz w:val="22"/>
                <w:szCs w:val="22"/>
                <w:lang w:eastAsia="en-US"/>
              </w:rPr>
              <w:t>Phasen der vollständigen Handlung - Umsetzungshinweise</w:t>
            </w:r>
          </w:p>
        </w:tc>
      </w:tr>
      <w:tr w:rsidR="00F921DA" w:rsidRPr="00F921DA" w:rsidTr="00F921DA">
        <w:trPr>
          <w:trHeight w:val="478"/>
        </w:trPr>
        <w:tc>
          <w:tcPr>
            <w:tcW w:w="196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921DA" w:rsidRPr="00F921DA" w:rsidRDefault="00F921DA" w:rsidP="00F921DA">
            <w:pPr>
              <w:widowControl/>
              <w:autoSpaceDE/>
              <w:autoSpaceDN/>
              <w:adjustRightInd/>
              <w:spacing w:line="240" w:lineRule="exact"/>
              <w:ind w:left="34"/>
              <w:rPr>
                <w:rFonts w:eastAsia="Calibri" w:cs="Arial"/>
                <w:b/>
                <w:sz w:val="22"/>
                <w:szCs w:val="22"/>
                <w:lang w:eastAsia="en-US"/>
              </w:rPr>
            </w:pPr>
            <w:r w:rsidRPr="00F921DA">
              <w:rPr>
                <w:rFonts w:eastAsia="Calibri" w:cs="Arial"/>
                <w:b/>
                <w:sz w:val="22"/>
                <w:szCs w:val="22"/>
                <w:lang w:eastAsia="en-US"/>
              </w:rPr>
              <w:t>Handlungsphase</w:t>
            </w:r>
          </w:p>
        </w:tc>
        <w:tc>
          <w:tcPr>
            <w:tcW w:w="838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921DA" w:rsidRPr="00F921DA" w:rsidRDefault="00F921DA" w:rsidP="00F921DA">
            <w:pPr>
              <w:widowControl/>
              <w:autoSpaceDE/>
              <w:autoSpaceDN/>
              <w:adjustRightInd/>
              <w:spacing w:line="240" w:lineRule="exact"/>
              <w:ind w:left="34"/>
              <w:rPr>
                <w:rFonts w:eastAsia="Calibri" w:cs="Arial"/>
                <w:b/>
                <w:sz w:val="22"/>
                <w:szCs w:val="22"/>
                <w:lang w:eastAsia="en-US"/>
              </w:rPr>
            </w:pPr>
            <w:r w:rsidRPr="00F921DA">
              <w:rPr>
                <w:rFonts w:eastAsia="Calibri" w:cs="Arial"/>
                <w:b/>
                <w:sz w:val="22"/>
                <w:szCs w:val="22"/>
                <w:lang w:eastAsia="en-US"/>
              </w:rPr>
              <w:t>Hinweise zur Umsetzung</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jc w:val="both"/>
              <w:rPr>
                <w:rFonts w:eastAsia="Calibri" w:cs="Arial"/>
                <w:sz w:val="22"/>
                <w:szCs w:val="22"/>
                <w:lang w:eastAsia="en-US"/>
              </w:rPr>
            </w:pPr>
            <w:r w:rsidRPr="00F921DA">
              <w:rPr>
                <w:rFonts w:eastAsia="Calibri" w:cs="Arial"/>
                <w:sz w:val="22"/>
                <w:szCs w:val="22"/>
                <w:lang w:eastAsia="en-US"/>
              </w:rPr>
              <w:t>Informieren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Die Schülerinnen und Schüler erfassen und analysieren die problemhaltige Situation.</w:t>
            </w:r>
          </w:p>
          <w:p w:rsidR="00F921DA" w:rsidRPr="00F921DA" w:rsidRDefault="00F921DA" w:rsidP="00F921DA">
            <w:pPr>
              <w:widowControl/>
              <w:autoSpaceDE/>
              <w:autoSpaceDN/>
              <w:adjustRightInd/>
              <w:spacing w:line="240" w:lineRule="exact"/>
              <w:ind w:left="34"/>
              <w:rPr>
                <w:rFonts w:eastAsia="Calibri" w:cs="Arial"/>
                <w:sz w:val="22"/>
                <w:szCs w:val="22"/>
                <w:lang w:eastAsia="en-US"/>
              </w:rPr>
            </w:pPr>
          </w:p>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 xml:space="preserve">Die Motivation bzw. </w:t>
            </w:r>
            <w:r>
              <w:rPr>
                <w:rFonts w:eastAsia="Calibri" w:cs="Arial"/>
                <w:sz w:val="22"/>
                <w:szCs w:val="22"/>
                <w:lang w:eastAsia="en-US"/>
              </w:rPr>
              <w:t xml:space="preserve">die </w:t>
            </w:r>
            <w:r w:rsidRPr="00F921DA">
              <w:rPr>
                <w:rFonts w:eastAsia="Calibri" w:cs="Arial"/>
                <w:sz w:val="22"/>
                <w:szCs w:val="22"/>
                <w:lang w:eastAsia="en-US"/>
              </w:rPr>
              <w:t xml:space="preserve">Konfrontation erfolgt über die </w:t>
            </w:r>
            <w:r>
              <w:rPr>
                <w:rFonts w:eastAsia="Calibri" w:cs="Arial"/>
                <w:sz w:val="22"/>
                <w:szCs w:val="22"/>
                <w:lang w:eastAsia="en-US"/>
              </w:rPr>
              <w:t xml:space="preserve">Beobachtung </w:t>
            </w:r>
            <w:r w:rsidRPr="00F921DA">
              <w:rPr>
                <w:rFonts w:eastAsia="Calibri" w:cs="Arial"/>
                <w:sz w:val="22"/>
                <w:szCs w:val="22"/>
                <w:lang w:eastAsia="en-US"/>
              </w:rPr>
              <w:t xml:space="preserve">von drei Rollenspielen. </w:t>
            </w:r>
            <w:r>
              <w:rPr>
                <w:rFonts w:eastAsia="Calibri" w:cs="Arial"/>
                <w:sz w:val="22"/>
                <w:szCs w:val="22"/>
                <w:lang w:eastAsia="en-US"/>
              </w:rPr>
              <w:t>Sechs Schülerinnen bzw. Schüler führen die Rollenspiele vor dem Plenum durch.</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Planen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Die Schülerinnen und Schüler planen eine strukturierte Vorgehensweise für die Bearbeitung der Aufträge</w:t>
            </w:r>
            <w:r>
              <w:rPr>
                <w:rFonts w:eastAsia="Calibri" w:cs="Arial"/>
                <w:sz w:val="22"/>
                <w:szCs w:val="22"/>
                <w:lang w:eastAsia="en-US"/>
              </w:rPr>
              <w:t>.</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Entscheiden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 xml:space="preserve">Die Schülerinnen und Schüler entscheiden sich für eine Vorgehensweise. </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Ausführen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 xml:space="preserve">Die Schülerinnen und Schüler strukturieren die Informationen des Datenkranzes. Sie bearbeiten die Aufträge </w:t>
            </w:r>
            <w:r>
              <w:rPr>
                <w:rFonts w:eastAsia="Calibri" w:cs="Arial"/>
                <w:sz w:val="22"/>
                <w:szCs w:val="22"/>
                <w:lang w:eastAsia="en-US"/>
              </w:rPr>
              <w:t>1</w:t>
            </w:r>
            <w:r w:rsidRPr="00F921DA">
              <w:rPr>
                <w:rFonts w:eastAsia="Calibri" w:cs="Arial"/>
                <w:sz w:val="22"/>
                <w:szCs w:val="22"/>
                <w:lang w:eastAsia="en-US"/>
              </w:rPr>
              <w:t xml:space="preserve"> </w:t>
            </w:r>
            <w:r>
              <w:rPr>
                <w:rFonts w:eastAsia="Calibri" w:cs="Arial"/>
                <w:sz w:val="22"/>
                <w:szCs w:val="22"/>
                <w:lang w:eastAsia="en-US"/>
              </w:rPr>
              <w:t>und 2 jeweils in</w:t>
            </w:r>
            <w:r w:rsidRPr="00F921DA">
              <w:rPr>
                <w:rFonts w:eastAsia="Calibri" w:cs="Arial"/>
                <w:sz w:val="22"/>
                <w:szCs w:val="22"/>
                <w:lang w:eastAsia="en-US"/>
              </w:rPr>
              <w:t xml:space="preserve"> Einzel- oder Partnerarbeit. </w:t>
            </w:r>
          </w:p>
          <w:p w:rsidR="00F921DA" w:rsidRPr="00F921DA" w:rsidRDefault="00F921DA" w:rsidP="00F921DA">
            <w:pPr>
              <w:widowControl/>
              <w:autoSpaceDE/>
              <w:autoSpaceDN/>
              <w:adjustRightInd/>
              <w:spacing w:line="240" w:lineRule="exact"/>
              <w:ind w:left="34"/>
              <w:rPr>
                <w:rFonts w:eastAsia="Calibri" w:cs="Arial"/>
                <w:sz w:val="22"/>
                <w:szCs w:val="22"/>
                <w:lang w:eastAsia="en-US"/>
              </w:rPr>
            </w:pPr>
          </w:p>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 xml:space="preserve">Die Bearbeitung des </w:t>
            </w:r>
            <w:r>
              <w:rPr>
                <w:rFonts w:eastAsia="Calibri" w:cs="Arial"/>
                <w:sz w:val="22"/>
                <w:szCs w:val="22"/>
                <w:lang w:eastAsia="en-US"/>
              </w:rPr>
              <w:t>dritten</w:t>
            </w:r>
            <w:r w:rsidRPr="00F921DA">
              <w:rPr>
                <w:rFonts w:eastAsia="Calibri" w:cs="Arial"/>
                <w:sz w:val="22"/>
                <w:szCs w:val="22"/>
                <w:lang w:eastAsia="en-US"/>
              </w:rPr>
              <w:t xml:space="preserve"> Auftrags erfolgt in Gruppenarbeit. Die Unterthemen können unter den Schülerinnen und Schülern aufgeteilt werden. Alternativ oder zusätzlich ist es möglich, den Vortrag durch eine oder mehrere Schülerinnen bzw. Schüler dem Plenum vortragen zu lassen. </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Kontrollieren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51"/>
              <w:rPr>
                <w:rFonts w:eastAsia="Calibri" w:cs="Arial"/>
                <w:sz w:val="22"/>
                <w:szCs w:val="22"/>
                <w:lang w:eastAsia="en-US"/>
              </w:rPr>
            </w:pPr>
            <w:r w:rsidRPr="00F921DA">
              <w:rPr>
                <w:rFonts w:eastAsia="Calibri" w:cs="Arial"/>
                <w:sz w:val="22"/>
                <w:szCs w:val="22"/>
                <w:lang w:eastAsia="en-US"/>
              </w:rPr>
              <w:t xml:space="preserve">Vor der Bearbeitung des </w:t>
            </w:r>
            <w:r>
              <w:rPr>
                <w:rFonts w:eastAsia="Calibri" w:cs="Arial"/>
                <w:sz w:val="22"/>
                <w:szCs w:val="22"/>
                <w:lang w:eastAsia="en-US"/>
              </w:rPr>
              <w:t>dritten</w:t>
            </w:r>
            <w:r w:rsidRPr="00F921DA">
              <w:rPr>
                <w:rFonts w:eastAsia="Calibri" w:cs="Arial"/>
                <w:sz w:val="22"/>
                <w:szCs w:val="22"/>
                <w:lang w:eastAsia="en-US"/>
              </w:rPr>
              <w:t xml:space="preserve"> Auftrags gleichen die Schülerinnen und Schüler zunächst ihre Ergebnisse der Aufträge</w:t>
            </w:r>
            <w:r>
              <w:rPr>
                <w:rFonts w:eastAsia="Calibri" w:cs="Arial"/>
                <w:sz w:val="22"/>
                <w:szCs w:val="22"/>
                <w:lang w:eastAsia="en-US"/>
              </w:rPr>
              <w:t xml:space="preserve"> 1</w:t>
            </w:r>
            <w:r w:rsidRPr="00F921DA">
              <w:rPr>
                <w:rFonts w:eastAsia="Calibri" w:cs="Arial"/>
                <w:sz w:val="22"/>
                <w:szCs w:val="22"/>
                <w:lang w:eastAsia="en-US"/>
              </w:rPr>
              <w:t xml:space="preserve"> bis </w:t>
            </w:r>
            <w:r>
              <w:rPr>
                <w:rFonts w:eastAsia="Calibri" w:cs="Arial"/>
                <w:sz w:val="22"/>
                <w:szCs w:val="22"/>
                <w:lang w:eastAsia="en-US"/>
              </w:rPr>
              <w:t>2</w:t>
            </w:r>
            <w:r w:rsidRPr="00F921DA">
              <w:rPr>
                <w:rFonts w:eastAsia="Calibri" w:cs="Arial"/>
                <w:sz w:val="22"/>
                <w:szCs w:val="22"/>
                <w:lang w:eastAsia="en-US"/>
              </w:rPr>
              <w:t xml:space="preserve"> hinsichtlich Inhalt und Struktur ab. Ggf. nehmen sie Korrekturen und Ergänzungen vor. </w:t>
            </w:r>
          </w:p>
          <w:p w:rsidR="00F921DA" w:rsidRPr="00F921DA" w:rsidRDefault="00F921DA" w:rsidP="00F921DA">
            <w:pPr>
              <w:widowControl/>
              <w:autoSpaceDE/>
              <w:autoSpaceDN/>
              <w:adjustRightInd/>
              <w:spacing w:line="240" w:lineRule="exact"/>
              <w:ind w:left="51"/>
              <w:rPr>
                <w:rFonts w:eastAsia="Calibri" w:cs="Arial"/>
                <w:sz w:val="22"/>
                <w:szCs w:val="22"/>
                <w:lang w:eastAsia="en-US"/>
              </w:rPr>
            </w:pPr>
          </w:p>
          <w:p w:rsidR="00F921DA" w:rsidRPr="00F921DA" w:rsidRDefault="00F921DA" w:rsidP="00F921DA">
            <w:pPr>
              <w:widowControl/>
              <w:autoSpaceDE/>
              <w:autoSpaceDN/>
              <w:adjustRightInd/>
              <w:spacing w:line="240" w:lineRule="exact"/>
              <w:ind w:left="51"/>
              <w:rPr>
                <w:rFonts w:eastAsia="Calibri" w:cs="Arial"/>
                <w:sz w:val="22"/>
                <w:szCs w:val="22"/>
                <w:lang w:eastAsia="en-US"/>
              </w:rPr>
            </w:pPr>
            <w:r w:rsidRPr="00F921DA">
              <w:rPr>
                <w:rFonts w:eastAsia="Calibri" w:cs="Arial"/>
                <w:sz w:val="22"/>
                <w:szCs w:val="22"/>
                <w:lang w:eastAsia="en-US"/>
              </w:rPr>
              <w:t xml:space="preserve">Beim Vortrag bzw. bei den Vorträgen (Auftrag </w:t>
            </w:r>
            <w:r>
              <w:rPr>
                <w:rFonts w:eastAsia="Calibri" w:cs="Arial"/>
                <w:sz w:val="22"/>
                <w:szCs w:val="22"/>
                <w:lang w:eastAsia="en-US"/>
              </w:rPr>
              <w:t>3</w:t>
            </w:r>
            <w:r w:rsidRPr="00F921DA">
              <w:rPr>
                <w:rFonts w:eastAsia="Calibri" w:cs="Arial"/>
                <w:sz w:val="22"/>
                <w:szCs w:val="22"/>
                <w:lang w:eastAsia="en-US"/>
              </w:rPr>
              <w:t xml:space="preserve">) stellen die Schülerinnen und </w:t>
            </w:r>
            <w:r w:rsidRPr="00F921DA">
              <w:rPr>
                <w:rFonts w:eastAsia="Calibri" w:cs="Arial"/>
                <w:sz w:val="22"/>
                <w:szCs w:val="22"/>
                <w:lang w:eastAsia="en-US"/>
              </w:rPr>
              <w:lastRenderedPageBreak/>
              <w:t xml:space="preserve">Schüler Verständnisfragen und kritisieren ggf. konstruktiv. </w:t>
            </w:r>
          </w:p>
        </w:tc>
      </w:tr>
      <w:tr w:rsidR="00F921DA" w:rsidRPr="00F921DA" w:rsidTr="00F921DA">
        <w:tc>
          <w:tcPr>
            <w:tcW w:w="1962" w:type="dxa"/>
            <w:tcBorders>
              <w:top w:val="single" w:sz="4" w:space="0" w:color="auto"/>
              <w:left w:val="single" w:sz="4" w:space="0" w:color="auto"/>
              <w:bottom w:val="single" w:sz="4" w:space="0" w:color="auto"/>
              <w:right w:val="single" w:sz="4" w:space="0" w:color="auto"/>
            </w:tcBorders>
            <w:shd w:val="clear" w:color="auto" w:fill="auto"/>
            <w:hideMark/>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lastRenderedPageBreak/>
              <w:t>Bewerten</w:t>
            </w:r>
          </w:p>
        </w:tc>
        <w:tc>
          <w:tcPr>
            <w:tcW w:w="8386" w:type="dxa"/>
            <w:tcBorders>
              <w:top w:val="single" w:sz="4" w:space="0" w:color="auto"/>
              <w:left w:val="single" w:sz="4" w:space="0" w:color="auto"/>
              <w:bottom w:val="single" w:sz="4" w:space="0" w:color="auto"/>
              <w:right w:val="single" w:sz="4" w:space="0" w:color="auto"/>
            </w:tcBorders>
            <w:shd w:val="clear" w:color="auto" w:fill="auto"/>
          </w:tcPr>
          <w:p w:rsidR="00F921DA" w:rsidRPr="00F921DA" w:rsidRDefault="00F921DA" w:rsidP="00F921DA">
            <w:pPr>
              <w:widowControl/>
              <w:autoSpaceDE/>
              <w:autoSpaceDN/>
              <w:adjustRightInd/>
              <w:spacing w:line="240" w:lineRule="exact"/>
              <w:ind w:left="34"/>
              <w:rPr>
                <w:rFonts w:eastAsia="Calibri" w:cs="Arial"/>
                <w:sz w:val="22"/>
                <w:szCs w:val="22"/>
                <w:lang w:eastAsia="en-US"/>
              </w:rPr>
            </w:pPr>
            <w:r w:rsidRPr="00F921DA">
              <w:rPr>
                <w:rFonts w:eastAsia="Calibri" w:cs="Arial"/>
                <w:sz w:val="22"/>
                <w:szCs w:val="22"/>
                <w:lang w:eastAsia="en-US"/>
              </w:rPr>
              <w:t xml:space="preserve">Die Schülerinnen und Schüler prüfen bei der Bewertung der Handlungsergebnisse warum manche Ergebnisse besser als andere sind. Sie identifizieren Verbesserungsmöglichkeiten im Handlungsverlauf und im Ergebnis und übertragen diese auf zukünftige Situationen. </w:t>
            </w:r>
          </w:p>
        </w:tc>
      </w:tr>
    </w:tbl>
    <w:p w:rsidR="00F921DA" w:rsidRPr="00F921DA" w:rsidRDefault="00F921DA" w:rsidP="00F921DA">
      <w:pPr>
        <w:spacing w:line="276" w:lineRule="auto"/>
        <w:rPr>
          <w:rFonts w:cs="Arial"/>
          <w:color w:val="FF0000"/>
          <w:sz w:val="22"/>
          <w:szCs w:val="22"/>
          <w:u w:val="single"/>
        </w:rPr>
      </w:pPr>
    </w:p>
    <w:p w:rsidR="00F921DA" w:rsidRPr="00F921DA" w:rsidRDefault="00F921DA" w:rsidP="00F921DA">
      <w:pPr>
        <w:spacing w:line="276" w:lineRule="auto"/>
        <w:rPr>
          <w:rFonts w:cs="Arial"/>
          <w:color w:val="FF0000"/>
          <w:sz w:val="22"/>
          <w:szCs w:val="22"/>
          <w:u w:val="single"/>
        </w:rPr>
      </w:pPr>
    </w:p>
    <w:p w:rsidR="00F921DA" w:rsidRPr="00F921DA" w:rsidRDefault="00F921DA" w:rsidP="00F921DA">
      <w:pPr>
        <w:jc w:val="both"/>
        <w:rPr>
          <w:rFonts w:eastAsia="Calibri" w:cs="Arial"/>
          <w:sz w:val="22"/>
          <w:szCs w:val="22"/>
          <w:lang w:eastAsia="en-US"/>
        </w:rPr>
      </w:pPr>
      <w:r w:rsidRPr="00F921DA">
        <w:rPr>
          <w:rFonts w:eastAsia="Calibri" w:cs="Arial"/>
          <w:sz w:val="22"/>
          <w:szCs w:val="22"/>
          <w:lang w:eastAsia="en-US"/>
        </w:rPr>
        <w:t>Hinweise:</w:t>
      </w:r>
    </w:p>
    <w:p w:rsidR="00F921DA" w:rsidRPr="00F921DA" w:rsidRDefault="00F921DA" w:rsidP="00F921DA">
      <w:pPr>
        <w:jc w:val="both"/>
        <w:rPr>
          <w:rFonts w:eastAsia="Calibri" w:cs="Arial"/>
          <w:sz w:val="22"/>
          <w:szCs w:val="22"/>
          <w:lang w:eastAsia="en-US"/>
        </w:rPr>
      </w:pPr>
    </w:p>
    <w:p w:rsidR="00F921DA" w:rsidRPr="00F921DA" w:rsidRDefault="00F921DA" w:rsidP="00F921DA">
      <w:pPr>
        <w:numPr>
          <w:ilvl w:val="0"/>
          <w:numId w:val="17"/>
        </w:numPr>
        <w:ind w:left="284" w:hanging="284"/>
        <w:contextualSpacing/>
        <w:jc w:val="both"/>
        <w:rPr>
          <w:rFonts w:eastAsia="Calibri" w:cs="Arial"/>
          <w:sz w:val="22"/>
          <w:szCs w:val="22"/>
          <w:lang w:eastAsia="en-US"/>
        </w:rPr>
      </w:pPr>
      <w:r w:rsidRPr="00F921DA">
        <w:rPr>
          <w:rFonts w:eastAsia="Calibri" w:cs="Arial"/>
          <w:sz w:val="22"/>
          <w:szCs w:val="22"/>
          <w:lang w:eastAsia="en-US"/>
        </w:rPr>
        <w:t>Die Rollenkarten sind bewusst sehr allgemein formuliert, so dass verschiedene Waren verwendet werden können.</w:t>
      </w:r>
    </w:p>
    <w:p w:rsidR="00F921DA" w:rsidRPr="00F921DA" w:rsidRDefault="00F921DA" w:rsidP="00F921DA">
      <w:pPr>
        <w:spacing w:line="276" w:lineRule="auto"/>
        <w:jc w:val="both"/>
        <w:rPr>
          <w:rFonts w:cs="Arial"/>
          <w:color w:val="FF0000"/>
          <w:sz w:val="22"/>
          <w:szCs w:val="22"/>
          <w:u w:val="single"/>
        </w:rPr>
      </w:pPr>
    </w:p>
    <w:p w:rsidR="00F921DA" w:rsidRPr="00F921DA" w:rsidRDefault="00F921DA" w:rsidP="00F921DA">
      <w:pPr>
        <w:numPr>
          <w:ilvl w:val="0"/>
          <w:numId w:val="17"/>
        </w:numPr>
        <w:ind w:left="284" w:hanging="284"/>
        <w:contextualSpacing/>
        <w:jc w:val="both"/>
        <w:rPr>
          <w:rFonts w:eastAsia="Calibri" w:cs="Arial"/>
          <w:sz w:val="22"/>
          <w:szCs w:val="22"/>
          <w:lang w:eastAsia="en-US"/>
        </w:rPr>
      </w:pPr>
      <w:r w:rsidRPr="00F921DA">
        <w:rPr>
          <w:rFonts w:eastAsia="Calibri" w:cs="Arial"/>
          <w:sz w:val="22"/>
          <w:szCs w:val="22"/>
          <w:lang w:eastAsia="en-US"/>
        </w:rPr>
        <w:t xml:space="preserve">Die Konsolidierung erfolgt über die Durchführung von Rollenspielen, in denen die Verkäuferin bzw. der Verkäufer das Gelernte anwendet. Die beobachtenden Schülerinnen und Schüler im Plenum erhalten einen Beobachtungsauftrag und analysieren anschließend das Gesehene. In Abhängigkeit von der Leistungsstärke der Klasse und den räumlichen Gegebenheiten können die Rollenspiele alternativ auch in Kleingruppen parallel durchgeführt werden. Da die Rollenkarten in Bezug auf die Ware allgemein formuliert sind, können die Karten auch mehrmals mit verschiedenen Waren verwendet werden. </w:t>
      </w:r>
    </w:p>
    <w:p w:rsidR="00F921DA" w:rsidRPr="00F921DA" w:rsidRDefault="00F921DA" w:rsidP="00F921DA">
      <w:pPr>
        <w:rPr>
          <w:rFonts w:cs="Arial"/>
          <w:sz w:val="22"/>
          <w:szCs w:val="22"/>
        </w:rPr>
      </w:pPr>
    </w:p>
    <w:p w:rsidR="005C6E32" w:rsidRDefault="005C6E32" w:rsidP="00365018">
      <w:pPr>
        <w:widowControl/>
        <w:tabs>
          <w:tab w:val="left" w:pos="6096"/>
        </w:tabs>
        <w:autoSpaceDE/>
        <w:autoSpaceDN/>
        <w:adjustRightInd/>
        <w:rPr>
          <w:rFonts w:cs="Arial"/>
          <w:sz w:val="22"/>
        </w:rPr>
      </w:pPr>
    </w:p>
    <w:p w:rsidR="00D02A8B" w:rsidRDefault="00D02A8B" w:rsidP="00365018">
      <w:pPr>
        <w:widowControl/>
        <w:tabs>
          <w:tab w:val="left" w:pos="6096"/>
        </w:tabs>
        <w:autoSpaceDE/>
        <w:autoSpaceDN/>
        <w:adjustRightInd/>
        <w:rPr>
          <w:rFonts w:cs="Arial"/>
          <w:sz w:val="22"/>
        </w:rPr>
      </w:pPr>
    </w:p>
    <w:p w:rsidR="00365018" w:rsidRPr="00365018" w:rsidRDefault="00365018" w:rsidP="00365018">
      <w:pPr>
        <w:widowControl/>
        <w:tabs>
          <w:tab w:val="left" w:pos="6096"/>
        </w:tabs>
        <w:autoSpaceDE/>
        <w:autoSpaceDN/>
        <w:adjustRightInd/>
        <w:rPr>
          <w:rFonts w:cs="Arial"/>
          <w:sz w:val="22"/>
        </w:rPr>
      </w:pPr>
    </w:p>
    <w:sectPr w:rsidR="00365018" w:rsidRPr="00365018"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04D" w:rsidRDefault="0060504D" w:rsidP="009B52F2">
      <w:r>
        <w:separator/>
      </w:r>
    </w:p>
  </w:endnote>
  <w:endnote w:type="continuationSeparator" w:id="0">
    <w:p w:rsidR="0060504D" w:rsidRDefault="0060504D"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04D" w:rsidRDefault="0060504D" w:rsidP="009B52F2">
      <w:r>
        <w:separator/>
      </w:r>
    </w:p>
  </w:footnote>
  <w:footnote w:type="continuationSeparator" w:id="0">
    <w:p w:rsidR="0060504D" w:rsidRDefault="0060504D" w:rsidP="009B52F2">
      <w:r>
        <w:continuationSeparator/>
      </w:r>
    </w:p>
  </w:footnote>
  <w:footnote w:id="1">
    <w:p w:rsidR="00F921DA" w:rsidRDefault="00F921DA" w:rsidP="00F921DA">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 xml:space="preserve">WBM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3535E2">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3535E2">
          <w:rPr>
            <w:rFonts w:cs="Arial"/>
            <w:bCs/>
            <w:noProof/>
            <w:sz w:val="16"/>
            <w:u w:val="single"/>
          </w:rPr>
          <w:t>2</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9669A5"/>
    <w:multiLevelType w:val="hybridMultilevel"/>
    <w:tmpl w:val="4670A8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67641"/>
    <w:multiLevelType w:val="hybridMultilevel"/>
    <w:tmpl w:val="2098EC1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0"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EA536E7"/>
    <w:multiLevelType w:val="hybridMultilevel"/>
    <w:tmpl w:val="0E5E8A62"/>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
  </w:num>
  <w:num w:numId="3">
    <w:abstractNumId w:val="2"/>
  </w:num>
  <w:num w:numId="4">
    <w:abstractNumId w:val="10"/>
  </w:num>
  <w:num w:numId="5">
    <w:abstractNumId w:val="11"/>
  </w:num>
  <w:num w:numId="6">
    <w:abstractNumId w:val="7"/>
  </w:num>
  <w:num w:numId="7">
    <w:abstractNumId w:val="5"/>
  </w:num>
  <w:num w:numId="8">
    <w:abstractNumId w:val="12"/>
  </w:num>
  <w:num w:numId="9">
    <w:abstractNumId w:val="15"/>
  </w:num>
  <w:num w:numId="10">
    <w:abstractNumId w:val="8"/>
  </w:num>
  <w:num w:numId="11">
    <w:abstractNumId w:val="16"/>
  </w:num>
  <w:num w:numId="12">
    <w:abstractNumId w:val="0"/>
  </w:num>
  <w:num w:numId="13">
    <w:abstractNumId w:val="14"/>
  </w:num>
  <w:num w:numId="14">
    <w:abstractNumId w:val="6"/>
  </w:num>
  <w:num w:numId="15">
    <w:abstractNumId w:val="3"/>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4372"/>
    <w:rsid w:val="00016381"/>
    <w:rsid w:val="000262AC"/>
    <w:rsid w:val="00036B1B"/>
    <w:rsid w:val="00044E3F"/>
    <w:rsid w:val="000575F8"/>
    <w:rsid w:val="00061895"/>
    <w:rsid w:val="00064211"/>
    <w:rsid w:val="000850D2"/>
    <w:rsid w:val="000A36E1"/>
    <w:rsid w:val="000B3F39"/>
    <w:rsid w:val="000F593D"/>
    <w:rsid w:val="00147F6E"/>
    <w:rsid w:val="00165DEB"/>
    <w:rsid w:val="001E5753"/>
    <w:rsid w:val="002214D0"/>
    <w:rsid w:val="0022375A"/>
    <w:rsid w:val="00253B22"/>
    <w:rsid w:val="002C51C3"/>
    <w:rsid w:val="003535E2"/>
    <w:rsid w:val="00365018"/>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55E58"/>
    <w:rsid w:val="00571127"/>
    <w:rsid w:val="005C6E32"/>
    <w:rsid w:val="0060504D"/>
    <w:rsid w:val="00630BFD"/>
    <w:rsid w:val="00642292"/>
    <w:rsid w:val="00670017"/>
    <w:rsid w:val="006B4874"/>
    <w:rsid w:val="006D1DB8"/>
    <w:rsid w:val="007101B3"/>
    <w:rsid w:val="00721574"/>
    <w:rsid w:val="00732DF3"/>
    <w:rsid w:val="00752B54"/>
    <w:rsid w:val="007572E2"/>
    <w:rsid w:val="007574FB"/>
    <w:rsid w:val="007A399B"/>
    <w:rsid w:val="007B3B66"/>
    <w:rsid w:val="007D34D9"/>
    <w:rsid w:val="00822F63"/>
    <w:rsid w:val="00857343"/>
    <w:rsid w:val="008625D3"/>
    <w:rsid w:val="008B2981"/>
    <w:rsid w:val="0098295F"/>
    <w:rsid w:val="009B52F2"/>
    <w:rsid w:val="00A526BD"/>
    <w:rsid w:val="00A71A3E"/>
    <w:rsid w:val="00B12D3C"/>
    <w:rsid w:val="00B607D5"/>
    <w:rsid w:val="00B7366B"/>
    <w:rsid w:val="00B87B17"/>
    <w:rsid w:val="00B95313"/>
    <w:rsid w:val="00BA1170"/>
    <w:rsid w:val="00C454EF"/>
    <w:rsid w:val="00CF06B8"/>
    <w:rsid w:val="00D02A8B"/>
    <w:rsid w:val="00D167B9"/>
    <w:rsid w:val="00D43D20"/>
    <w:rsid w:val="00D80E13"/>
    <w:rsid w:val="00DE2D09"/>
    <w:rsid w:val="00E233B7"/>
    <w:rsid w:val="00E67BEF"/>
    <w:rsid w:val="00E80C46"/>
    <w:rsid w:val="00F52F2D"/>
    <w:rsid w:val="00F921DA"/>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605C5"/>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365018"/>
    <w:pPr>
      <w:widowControl/>
      <w:numPr>
        <w:numId w:val="11"/>
      </w:numPr>
      <w:tabs>
        <w:tab w:val="clear" w:pos="360"/>
        <w:tab w:val="left" w:pos="227"/>
      </w:tabs>
      <w:autoSpaceDE/>
      <w:autoSpaceDN/>
      <w:adjustRightInd/>
      <w:spacing w:line="280" w:lineRule="atLeast"/>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8D164-58DD-47B3-A939-B59F3D8B4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6</cp:revision>
  <cp:lastPrinted>2020-07-11T14:45:00Z</cp:lastPrinted>
  <dcterms:created xsi:type="dcterms:W3CDTF">2015-05-03T15:30:00Z</dcterms:created>
  <dcterms:modified xsi:type="dcterms:W3CDTF">2020-07-11T14:45:00Z</dcterms:modified>
</cp:coreProperties>
</file>