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611A" w:rsidRPr="00E74C77" w:rsidRDefault="008B3608" w:rsidP="00E74C77">
      <w:pPr>
        <w:spacing w:line="360" w:lineRule="auto"/>
        <w:jc w:val="center"/>
        <w:rPr>
          <w:rFonts w:ascii="Arial" w:hAnsi="Arial" w:cs="Arial"/>
          <w:b/>
          <w:sz w:val="22"/>
          <w:szCs w:val="22"/>
        </w:rPr>
      </w:pPr>
      <w:r>
        <w:rPr>
          <w:rFonts w:ascii="Arial" w:hAnsi="Arial" w:cs="Arial"/>
          <w:b/>
          <w:sz w:val="22"/>
          <w:szCs w:val="22"/>
        </w:rPr>
        <w:t xml:space="preserve">M3 </w:t>
      </w:r>
      <w:r w:rsidR="000D611A" w:rsidRPr="00E74C77">
        <w:rPr>
          <w:rFonts w:ascii="Arial" w:hAnsi="Arial" w:cs="Arial"/>
          <w:b/>
          <w:sz w:val="22"/>
          <w:szCs w:val="22"/>
        </w:rPr>
        <w:t>Kaufhaus Dietz</w:t>
      </w:r>
    </w:p>
    <w:p w:rsidR="000D611A" w:rsidRPr="00C97EA5" w:rsidRDefault="000D611A" w:rsidP="00E74C77">
      <w:pPr>
        <w:spacing w:line="360" w:lineRule="auto"/>
        <w:jc w:val="both"/>
        <w:rPr>
          <w:rFonts w:ascii="Arial" w:hAnsi="Arial" w:cs="Arial"/>
          <w:sz w:val="22"/>
          <w:szCs w:val="22"/>
        </w:rPr>
      </w:pPr>
      <w:r w:rsidRPr="00C97EA5">
        <w:rPr>
          <w:rFonts w:ascii="Arial" w:hAnsi="Arial" w:cs="Arial"/>
          <w:noProof/>
          <w:sz w:val="22"/>
          <w:szCs w:val="22"/>
        </w:rPr>
        <w:drawing>
          <wp:anchor distT="0" distB="0" distL="114300" distR="114300" simplePos="0" relativeHeight="251659264" behindDoc="0" locked="0" layoutInCell="1" allowOverlap="1" wp14:anchorId="56AE7FFB" wp14:editId="7F70A1D0">
            <wp:simplePos x="0" y="0"/>
            <wp:positionH relativeFrom="column">
              <wp:posOffset>2827020</wp:posOffset>
            </wp:positionH>
            <wp:positionV relativeFrom="paragraph">
              <wp:posOffset>723265</wp:posOffset>
            </wp:positionV>
            <wp:extent cx="2983865" cy="4052570"/>
            <wp:effectExtent l="0" t="0" r="635" b="0"/>
            <wp:wrapSquare wrapText="bothSides"/>
            <wp:docPr id="1" name="Grafik 1" descr="Datei:Warenhaus Herm. Tietz in Stuttg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i:Warenhaus Herm. Tietz in Stuttgart.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83865" cy="4052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7EA5">
        <w:rPr>
          <w:rFonts w:ascii="Arial" w:hAnsi="Arial" w:cs="Arial"/>
          <w:sz w:val="22"/>
          <w:szCs w:val="22"/>
        </w:rPr>
        <w:t xml:space="preserve">In der Königsstraße 27 stand das erste Kaufhaus Stuttgarts, das 1905 von dem jüdischen Kaufmann Hermann Tietz eröffnet wurde. Das Kaufhaus wurde rasch zum Zentrum für Käufe aller möglichen Art und trug mit dazu bei, dass die Königsstraße zur modernen Einkaufsstraße wurde. </w:t>
      </w:r>
    </w:p>
    <w:p w:rsidR="000D611A" w:rsidRPr="00C97EA5" w:rsidRDefault="000D611A" w:rsidP="00E74C77">
      <w:pPr>
        <w:spacing w:line="360" w:lineRule="auto"/>
        <w:jc w:val="both"/>
        <w:rPr>
          <w:rFonts w:ascii="Arial" w:hAnsi="Arial" w:cs="Arial"/>
          <w:sz w:val="22"/>
          <w:szCs w:val="22"/>
        </w:rPr>
      </w:pPr>
      <w:r w:rsidRPr="00C97EA5">
        <w:rPr>
          <w:rFonts w:ascii="Arial" w:hAnsi="Arial" w:cs="Arial"/>
          <w:sz w:val="22"/>
          <w:szCs w:val="22"/>
        </w:rPr>
        <w:t xml:space="preserve">Tietz war so erfolgreich, weil er sich stärker als der Rest der Geschäfte an den Wünschen der Kunden orientierte, mit günstigen Preisen neue </w:t>
      </w:r>
      <w:r w:rsidR="008136D1">
        <w:rPr>
          <w:rFonts w:ascii="Arial" w:hAnsi="Arial" w:cs="Arial"/>
          <w:sz w:val="22"/>
          <w:szCs w:val="22"/>
        </w:rPr>
        <w:t>Käufer</w:t>
      </w:r>
      <w:r w:rsidRPr="00C97EA5">
        <w:rPr>
          <w:rFonts w:ascii="Arial" w:hAnsi="Arial" w:cs="Arial"/>
          <w:sz w:val="22"/>
          <w:szCs w:val="22"/>
        </w:rPr>
        <w:t xml:space="preserve"> anlockte und regelmäßig großflächige Werbeannouncen in den Zeitungen schaltete. </w:t>
      </w:r>
    </w:p>
    <w:p w:rsidR="000D611A" w:rsidRDefault="000D611A" w:rsidP="00E74C77">
      <w:pPr>
        <w:spacing w:line="360" w:lineRule="auto"/>
        <w:jc w:val="both"/>
        <w:rPr>
          <w:rFonts w:ascii="Arial" w:hAnsi="Arial" w:cs="Arial"/>
          <w:sz w:val="22"/>
          <w:szCs w:val="22"/>
        </w:rPr>
      </w:pPr>
      <w:r w:rsidRPr="00C97EA5">
        <w:rPr>
          <w:rFonts w:ascii="Arial" w:hAnsi="Arial" w:cs="Arial"/>
          <w:sz w:val="22"/>
          <w:szCs w:val="22"/>
        </w:rPr>
        <w:t>Oskar Tietz (1858-1923) stammte ursprünglich aus Posen und war der Sohn eines jüdischen Kaufmanns. Sein erstes Kaufhaus gründete er in Gera, weitere Häuser folgten. In Stuttgart reagierte er auf die rasch wachsende E</w:t>
      </w:r>
      <w:r w:rsidRPr="00C97EA5">
        <w:rPr>
          <w:rFonts w:ascii="Arial" w:hAnsi="Arial" w:cs="Arial"/>
          <w:sz w:val="22"/>
          <w:szCs w:val="22"/>
        </w:rPr>
        <w:fldChar w:fldCharType="begin"/>
      </w:r>
      <w:r w:rsidRPr="00C97EA5">
        <w:rPr>
          <w:rFonts w:ascii="Arial" w:hAnsi="Arial" w:cs="Arial"/>
          <w:sz w:val="22"/>
          <w:szCs w:val="22"/>
        </w:rPr>
        <w:instrText xml:space="preserve"> INCLUDEPICTURE "https://upload.wikimedia.org/wikipedia/commons/thumb/2/23/Warenhaus_Herm._Tietz_in_Stuttgart.jpg/442px-Warenhaus_Herm._Tietz_in_Stuttgart.jpg" \* MERGEFORMATINET </w:instrText>
      </w:r>
      <w:r w:rsidRPr="00C97EA5">
        <w:rPr>
          <w:rFonts w:ascii="Arial" w:hAnsi="Arial" w:cs="Arial"/>
          <w:sz w:val="22"/>
          <w:szCs w:val="22"/>
        </w:rPr>
        <w:fldChar w:fldCharType="end"/>
      </w:r>
      <w:r w:rsidRPr="00C97EA5">
        <w:rPr>
          <w:rFonts w:ascii="Arial" w:hAnsi="Arial" w:cs="Arial"/>
          <w:sz w:val="22"/>
          <w:szCs w:val="22"/>
        </w:rPr>
        <w:t xml:space="preserve">inwohnerzahl mit seinem Kaufhaus </w:t>
      </w:r>
      <w:r>
        <w:rPr>
          <w:rFonts w:ascii="Arial" w:hAnsi="Arial" w:cs="Arial"/>
          <w:sz w:val="22"/>
          <w:szCs w:val="22"/>
        </w:rPr>
        <w:t xml:space="preserve">indem er </w:t>
      </w:r>
      <w:r w:rsidRPr="00C97EA5">
        <w:rPr>
          <w:rFonts w:ascii="Arial" w:hAnsi="Arial" w:cs="Arial"/>
          <w:sz w:val="22"/>
          <w:szCs w:val="22"/>
        </w:rPr>
        <w:t xml:space="preserve">ein breites Angebot an Nahrungsmitteln und sonstigen Artikeln </w:t>
      </w:r>
      <w:r>
        <w:rPr>
          <w:rFonts w:ascii="Arial" w:hAnsi="Arial" w:cs="Arial"/>
          <w:sz w:val="22"/>
          <w:szCs w:val="22"/>
        </w:rPr>
        <w:t>anbot</w:t>
      </w:r>
      <w:r w:rsidRPr="00C97EA5">
        <w:rPr>
          <w:rFonts w:ascii="Arial" w:hAnsi="Arial" w:cs="Arial"/>
          <w:sz w:val="22"/>
          <w:szCs w:val="22"/>
        </w:rPr>
        <w:t xml:space="preserve">. </w:t>
      </w:r>
    </w:p>
    <w:p w:rsidR="000D611A" w:rsidRPr="00E74C77" w:rsidRDefault="000D611A" w:rsidP="000D611A">
      <w:pPr>
        <w:rPr>
          <w:rFonts w:ascii="Arial" w:hAnsi="Arial" w:cs="Arial"/>
          <w:color w:val="000000" w:themeColor="text1"/>
          <w:sz w:val="18"/>
          <w:szCs w:val="18"/>
        </w:rPr>
      </w:pPr>
      <w:r w:rsidRPr="00E74C77">
        <w:rPr>
          <w:rFonts w:ascii="Arial" w:hAnsi="Arial" w:cs="Arial"/>
          <w:color w:val="000000" w:themeColor="text1"/>
          <w:sz w:val="18"/>
          <w:szCs w:val="18"/>
          <w:shd w:val="clear" w:color="auto" w:fill="FFFFFF"/>
        </w:rPr>
        <w:t>Sigrid Brüggemann, Roland Maier: Auf den Spuren jüdischen Lebens. Sieben Streifzüge durch Stuttgart, Stuttgart 2019, S. 137-138. Bild: Alfred Woltz, </w:t>
      </w:r>
      <w:hyperlink r:id="rId7" w:tgtFrame="_blank" w:history="1">
        <w:r w:rsidRPr="00E74C77">
          <w:rPr>
            <w:rFonts w:ascii="Arial" w:hAnsi="Arial" w:cs="Arial"/>
            <w:color w:val="000000" w:themeColor="text1"/>
            <w:sz w:val="18"/>
            <w:szCs w:val="18"/>
          </w:rPr>
          <w:t>Warenhaus Herm. Tietz in Stuttgart</w:t>
        </w:r>
      </w:hyperlink>
      <w:r w:rsidRPr="00E74C77">
        <w:rPr>
          <w:rFonts w:ascii="Arial" w:hAnsi="Arial" w:cs="Arial"/>
          <w:color w:val="000000" w:themeColor="text1"/>
          <w:sz w:val="18"/>
          <w:szCs w:val="18"/>
          <w:shd w:val="clear" w:color="auto" w:fill="FFFFFF"/>
        </w:rPr>
        <w:t>, </w:t>
      </w:r>
      <w:hyperlink r:id="rId8" w:tgtFrame="_blank" w:history="1">
        <w:r w:rsidRPr="00E74C77">
          <w:rPr>
            <w:rFonts w:ascii="Arial" w:hAnsi="Arial" w:cs="Arial"/>
            <w:color w:val="000000" w:themeColor="text1"/>
            <w:sz w:val="18"/>
            <w:szCs w:val="18"/>
          </w:rPr>
          <w:t>CC BY-SA 4.0</w:t>
        </w:r>
      </w:hyperlink>
    </w:p>
    <w:p w:rsidR="000D611A" w:rsidRPr="00A550A4" w:rsidRDefault="000D611A" w:rsidP="000D611A">
      <w:pPr>
        <w:spacing w:line="276" w:lineRule="auto"/>
        <w:rPr>
          <w:rFonts w:ascii="Arial" w:hAnsi="Arial" w:cs="Arial"/>
          <w:sz w:val="22"/>
          <w:szCs w:val="22"/>
        </w:rPr>
      </w:pPr>
    </w:p>
    <w:p w:rsidR="000D611A" w:rsidRPr="00A550A4"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E74C77" w:rsidRDefault="00E74C77"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Pr="00E74C77" w:rsidRDefault="00464A8C" w:rsidP="00E74C77">
      <w:pPr>
        <w:spacing w:line="276" w:lineRule="auto"/>
        <w:jc w:val="center"/>
        <w:rPr>
          <w:rFonts w:ascii="Arial" w:hAnsi="Arial" w:cs="Arial"/>
          <w:b/>
          <w:sz w:val="22"/>
          <w:szCs w:val="22"/>
        </w:rPr>
      </w:pPr>
      <w:r>
        <w:rPr>
          <w:rFonts w:ascii="Arial" w:hAnsi="Arial" w:cs="Arial"/>
          <w:b/>
          <w:sz w:val="22"/>
          <w:szCs w:val="22"/>
        </w:rPr>
        <w:lastRenderedPageBreak/>
        <w:t xml:space="preserve">M3 </w:t>
      </w:r>
      <w:r w:rsidR="000D611A" w:rsidRPr="00E74C77">
        <w:rPr>
          <w:rFonts w:ascii="Arial" w:hAnsi="Arial" w:cs="Arial"/>
          <w:b/>
          <w:sz w:val="22"/>
          <w:szCs w:val="22"/>
        </w:rPr>
        <w:t>Jüdische Sänger in Stuttgart</w:t>
      </w:r>
    </w:p>
    <w:p w:rsidR="000D611A" w:rsidRPr="003D3AD6" w:rsidRDefault="000D611A" w:rsidP="000D611A">
      <w:pPr>
        <w:spacing w:line="276" w:lineRule="auto"/>
        <w:rPr>
          <w:rFonts w:ascii="Arial" w:hAnsi="Arial" w:cs="Arial"/>
          <w:sz w:val="22"/>
          <w:szCs w:val="22"/>
        </w:rPr>
      </w:pPr>
    </w:p>
    <w:p w:rsidR="000D611A" w:rsidRPr="003D3AD6" w:rsidRDefault="000D611A" w:rsidP="000D611A">
      <w:pPr>
        <w:spacing w:line="360" w:lineRule="auto"/>
        <w:jc w:val="both"/>
        <w:rPr>
          <w:rFonts w:ascii="Arial" w:hAnsi="Arial" w:cs="Arial"/>
          <w:sz w:val="22"/>
          <w:szCs w:val="22"/>
        </w:rPr>
      </w:pPr>
      <w:r w:rsidRPr="003D3AD6">
        <w:rPr>
          <w:noProof/>
          <w:sz w:val="22"/>
          <w:szCs w:val="22"/>
        </w:rPr>
        <w:drawing>
          <wp:anchor distT="0" distB="0" distL="114300" distR="114300" simplePos="0" relativeHeight="251660288" behindDoc="0" locked="0" layoutInCell="1" allowOverlap="1" wp14:anchorId="1EFC9C67" wp14:editId="5C08EE5D">
            <wp:simplePos x="0" y="0"/>
            <wp:positionH relativeFrom="column">
              <wp:posOffset>3175</wp:posOffset>
            </wp:positionH>
            <wp:positionV relativeFrom="paragraph">
              <wp:posOffset>119098</wp:posOffset>
            </wp:positionV>
            <wp:extent cx="3041650" cy="3713480"/>
            <wp:effectExtent l="0" t="0" r="6350" b="0"/>
            <wp:wrapSquare wrapText="bothSides"/>
            <wp:docPr id="2" name="Grafik 2" descr="/var/folders/v7/0yy1sq155b9b5x7_9trtv_z00000gn/T/com.microsoft.Word/WebArchiveCopyPasteTempFiles/HeinrichSontheimWe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r/folders/v7/0yy1sq155b9b5x7_9trtv_z00000gn/T/com.microsoft.Word/WebArchiveCopyPasteTempFiles/HeinrichSontheimWeger.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1650" cy="3713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D3AD6">
        <w:rPr>
          <w:rFonts w:ascii="Arial" w:hAnsi="Arial" w:cs="Arial"/>
          <w:sz w:val="22"/>
          <w:szCs w:val="22"/>
        </w:rPr>
        <w:t xml:space="preserve">Im 19. Jahrhundert spielten Juden eine große Rolle beim Aufleben des Stuttgarter kulturellen Lebens. Das Stuttgarter Hoftheater genoss großes Ansehen, das es nicht zuletzt seinen jüdischen Künstlern Heinrich Sontheim (1820-1912) und dem Konzertmeister Edmund Singer (1830-1912) zu verdanken hatte. </w:t>
      </w:r>
    </w:p>
    <w:p w:rsidR="000D611A" w:rsidRPr="003D3AD6" w:rsidRDefault="000D611A" w:rsidP="000D611A">
      <w:pPr>
        <w:spacing w:line="360" w:lineRule="auto"/>
        <w:jc w:val="both"/>
        <w:rPr>
          <w:rFonts w:ascii="Arial" w:hAnsi="Arial" w:cs="Arial"/>
          <w:sz w:val="22"/>
          <w:szCs w:val="22"/>
        </w:rPr>
      </w:pPr>
      <w:r w:rsidRPr="003D3AD6">
        <w:rPr>
          <w:rFonts w:ascii="Arial" w:hAnsi="Arial" w:cs="Arial"/>
          <w:sz w:val="22"/>
          <w:szCs w:val="22"/>
        </w:rPr>
        <w:t xml:space="preserve">Heinrich Sontheim absolvierte seine Gesangsausbildung in Stuttgart und übernahm schon im Alter von 19. Jahren erfolgreich erste Rollen. Er gab in jungen Jahren seinen jüdischen Glauben auf, kehrte jedoch später nach dem Tod seiner </w:t>
      </w:r>
      <w:r w:rsidRPr="003D3AD6">
        <w:rPr>
          <w:sz w:val="22"/>
          <w:szCs w:val="22"/>
        </w:rPr>
        <w:fldChar w:fldCharType="begin"/>
      </w:r>
      <w:r w:rsidRPr="003D3AD6">
        <w:rPr>
          <w:sz w:val="22"/>
          <w:szCs w:val="22"/>
        </w:rPr>
        <w:instrText xml:space="preserve"> INCLUDEPICTURE "/var/folders/v7/0yy1sq155b9b5x7_9trtv_z00000gn/T/com.microsoft.Word/WebArchiveCopyPasteTempFiles/HeinrichSontheimWeger.jpg" \* MERGEFORMATINET </w:instrText>
      </w:r>
      <w:r w:rsidRPr="003D3AD6">
        <w:rPr>
          <w:sz w:val="22"/>
          <w:szCs w:val="22"/>
        </w:rPr>
        <w:fldChar w:fldCharType="end"/>
      </w:r>
      <w:r w:rsidRPr="003D3AD6">
        <w:rPr>
          <w:rFonts w:ascii="Arial" w:hAnsi="Arial" w:cs="Arial"/>
          <w:sz w:val="22"/>
          <w:szCs w:val="22"/>
        </w:rPr>
        <w:t xml:space="preserve">evangelischen Frau zum Judentum zurück. In der Hofoper in Stuttgart kam es dank ihm zu mehreren aufsehenerregenden Uraufführungen. </w:t>
      </w:r>
    </w:p>
    <w:p w:rsidR="000D611A" w:rsidRPr="00E74C77" w:rsidRDefault="000D611A" w:rsidP="000D611A">
      <w:pPr>
        <w:rPr>
          <w:rFonts w:ascii="Arial" w:hAnsi="Arial" w:cs="Arial"/>
          <w:color w:val="000000" w:themeColor="text1"/>
          <w:sz w:val="18"/>
          <w:szCs w:val="18"/>
        </w:rPr>
      </w:pPr>
      <w:r w:rsidRPr="00E74C77">
        <w:rPr>
          <w:rFonts w:ascii="Arial" w:hAnsi="Arial" w:cs="Arial"/>
          <w:color w:val="000000" w:themeColor="text1"/>
          <w:sz w:val="18"/>
          <w:szCs w:val="18"/>
          <w:shd w:val="clear" w:color="auto" w:fill="FFFFFF"/>
        </w:rPr>
        <w:t xml:space="preserve">Sigrid Brüggemann, Roland Maier: Auf den Spuren jüdischen Lebens. Sieben Streifzüge durch Stuttgart, Stuttgart 2019, S. 221. https://de.wikipedia.org/wiki/Heinrich_Sontheim. </w:t>
      </w:r>
      <w:hyperlink r:id="rId10" w:tgtFrame="_blank" w:history="1">
        <w:r w:rsidRPr="00E74C77">
          <w:rPr>
            <w:rFonts w:ascii="Arial" w:hAnsi="Arial" w:cs="Arial"/>
            <w:color w:val="000000" w:themeColor="text1"/>
            <w:sz w:val="18"/>
            <w:szCs w:val="18"/>
          </w:rPr>
          <w:t>August Weger</w:t>
        </w:r>
      </w:hyperlink>
      <w:r w:rsidRPr="00E74C77">
        <w:rPr>
          <w:rFonts w:ascii="Arial" w:hAnsi="Arial" w:cs="Arial"/>
          <w:color w:val="000000" w:themeColor="text1"/>
          <w:sz w:val="18"/>
          <w:szCs w:val="18"/>
          <w:shd w:val="clear" w:color="auto" w:fill="FFFFFF"/>
        </w:rPr>
        <w:t> creator QS:P170,Q21396170, </w:t>
      </w:r>
      <w:hyperlink r:id="rId11" w:tgtFrame="_blank" w:history="1">
        <w:r w:rsidRPr="00E74C77">
          <w:rPr>
            <w:rFonts w:ascii="Arial" w:hAnsi="Arial" w:cs="Arial"/>
            <w:color w:val="000000" w:themeColor="text1"/>
            <w:sz w:val="18"/>
            <w:szCs w:val="18"/>
          </w:rPr>
          <w:t>HeinrichSontheimWeger</w:t>
        </w:r>
      </w:hyperlink>
      <w:r w:rsidRPr="00E74C77">
        <w:rPr>
          <w:rFonts w:ascii="Arial" w:hAnsi="Arial" w:cs="Arial"/>
          <w:color w:val="000000" w:themeColor="text1"/>
          <w:sz w:val="18"/>
          <w:szCs w:val="18"/>
          <w:shd w:val="clear" w:color="auto" w:fill="FFFFFF"/>
        </w:rPr>
        <w:t>, als gemeinfrei gekennzeichnet, Details auf </w:t>
      </w:r>
      <w:hyperlink r:id="rId12" w:tgtFrame="_blank" w:history="1">
        <w:r w:rsidRPr="00E74C77">
          <w:rPr>
            <w:rFonts w:ascii="Arial" w:hAnsi="Arial" w:cs="Arial"/>
            <w:color w:val="000000" w:themeColor="text1"/>
            <w:sz w:val="18"/>
            <w:szCs w:val="18"/>
          </w:rPr>
          <w:t>Wikimedia Commons</w:t>
        </w:r>
      </w:hyperlink>
      <w:r w:rsidR="00E74C77" w:rsidRPr="00E74C77">
        <w:rPr>
          <w:rFonts w:ascii="Arial" w:hAnsi="Arial" w:cs="Arial"/>
          <w:color w:val="000000" w:themeColor="text1"/>
          <w:sz w:val="18"/>
          <w:szCs w:val="18"/>
        </w:rPr>
        <w:t>.</w:t>
      </w: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E74C77" w:rsidRDefault="00E74C77"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Pr="0041374E" w:rsidRDefault="000D611A" w:rsidP="000D611A">
      <w:pPr>
        <w:spacing w:line="276" w:lineRule="auto"/>
        <w:rPr>
          <w:rFonts w:ascii="Arial" w:hAnsi="Arial" w:cs="Arial"/>
          <w:sz w:val="22"/>
          <w:szCs w:val="22"/>
        </w:rPr>
      </w:pPr>
    </w:p>
    <w:p w:rsidR="000D611A" w:rsidRPr="00E74C77" w:rsidRDefault="00464A8C" w:rsidP="00E74C77">
      <w:pPr>
        <w:spacing w:line="276" w:lineRule="auto"/>
        <w:jc w:val="center"/>
        <w:rPr>
          <w:rFonts w:ascii="Arial" w:hAnsi="Arial" w:cs="Arial"/>
          <w:b/>
          <w:sz w:val="22"/>
          <w:szCs w:val="22"/>
        </w:rPr>
      </w:pPr>
      <w:r>
        <w:rPr>
          <w:rFonts w:ascii="Arial" w:hAnsi="Arial" w:cs="Arial"/>
          <w:b/>
          <w:sz w:val="22"/>
          <w:szCs w:val="22"/>
        </w:rPr>
        <w:lastRenderedPageBreak/>
        <w:t xml:space="preserve">M3 </w:t>
      </w:r>
      <w:r w:rsidR="000D611A" w:rsidRPr="00E74C77">
        <w:rPr>
          <w:rFonts w:ascii="Arial" w:hAnsi="Arial" w:cs="Arial"/>
          <w:b/>
          <w:sz w:val="22"/>
          <w:szCs w:val="22"/>
        </w:rPr>
        <w:t>Bettfedernfirma Strauß und Co</w:t>
      </w:r>
    </w:p>
    <w:p w:rsidR="000D611A" w:rsidRPr="0041374E" w:rsidRDefault="000D611A" w:rsidP="000D611A">
      <w:pPr>
        <w:spacing w:line="360" w:lineRule="auto"/>
        <w:rPr>
          <w:rFonts w:ascii="Arial" w:hAnsi="Arial" w:cs="Arial"/>
          <w:sz w:val="22"/>
          <w:szCs w:val="22"/>
        </w:rPr>
      </w:pPr>
    </w:p>
    <w:p w:rsidR="000D611A" w:rsidRDefault="000D611A" w:rsidP="00E74C77">
      <w:pPr>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3360" behindDoc="0" locked="0" layoutInCell="1" allowOverlap="1" wp14:anchorId="5DAD428B" wp14:editId="5ADEC9C0">
            <wp:simplePos x="0" y="0"/>
            <wp:positionH relativeFrom="column">
              <wp:posOffset>3175</wp:posOffset>
            </wp:positionH>
            <wp:positionV relativeFrom="paragraph">
              <wp:posOffset>401532</wp:posOffset>
            </wp:positionV>
            <wp:extent cx="3147695" cy="2329180"/>
            <wp:effectExtent l="0" t="0" r="1905"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schirmfoto 2020-09-09 um 14.35.25.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47695" cy="232918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2"/>
          <w:szCs w:val="22"/>
        </w:rPr>
        <w:t xml:space="preserve">Die Bettdeckenfedernfabrik Straus und Cie. A.G. hatte ihren Sitz in Untertürkheim und Cannstatt und war im 19. und 20. Jahrhundert die größte Bettfedernfabrik weltweit. </w:t>
      </w:r>
    </w:p>
    <w:p w:rsidR="000D611A" w:rsidRDefault="000D611A" w:rsidP="00E74C77">
      <w:pPr>
        <w:spacing w:line="360" w:lineRule="auto"/>
        <w:jc w:val="both"/>
        <w:rPr>
          <w:rFonts w:ascii="Arial" w:hAnsi="Arial" w:cs="Arial"/>
          <w:sz w:val="22"/>
          <w:szCs w:val="22"/>
        </w:rPr>
      </w:pPr>
      <w:r>
        <w:rPr>
          <w:rFonts w:ascii="Arial" w:hAnsi="Arial" w:cs="Arial"/>
          <w:sz w:val="22"/>
          <w:szCs w:val="22"/>
        </w:rPr>
        <w:t xml:space="preserve">Der jüdische Unternehmer Seligman Löb Straus gründete 1842 eine Firma in Ulm an der Donau. Ab 1853 reichte die örtliche Produktion von Federn und Daunen nicht mehr aus und die Firmeninhaber wandten sich nach Ungarn und kauften dort Ware an. 1863 wurde die Firma nach Cannstatt verlegt. </w:t>
      </w:r>
    </w:p>
    <w:p w:rsidR="000D611A" w:rsidRDefault="000D611A" w:rsidP="00E74C77">
      <w:pPr>
        <w:spacing w:line="360" w:lineRule="auto"/>
        <w:jc w:val="both"/>
        <w:rPr>
          <w:rFonts w:ascii="Arial" w:hAnsi="Arial" w:cs="Arial"/>
          <w:sz w:val="22"/>
          <w:szCs w:val="22"/>
        </w:rPr>
      </w:pPr>
      <w:r>
        <w:rPr>
          <w:rFonts w:ascii="Arial" w:hAnsi="Arial" w:cs="Arial"/>
          <w:sz w:val="22"/>
          <w:szCs w:val="22"/>
        </w:rPr>
        <w:t xml:space="preserve">In den 1890er Jahren wurden weitere Niederlassungen im russischen Odessa, Charkow, Moskau und St. Petersburg sowie im französischen Paris errichtet. Als 1898 ein weiterer Stützpunkt in Berlin </w:t>
      </w:r>
      <w:r w:rsidR="008136D1">
        <w:rPr>
          <w:rFonts w:ascii="Arial" w:hAnsi="Arial" w:cs="Arial"/>
          <w:sz w:val="22"/>
          <w:szCs w:val="22"/>
        </w:rPr>
        <w:t>aufgebaut</w:t>
      </w:r>
      <w:r>
        <w:rPr>
          <w:rFonts w:ascii="Arial" w:hAnsi="Arial" w:cs="Arial"/>
          <w:sz w:val="22"/>
          <w:szCs w:val="22"/>
        </w:rPr>
        <w:t xml:space="preserve"> wurde, galt die Firma als die größte weltweit. </w:t>
      </w:r>
    </w:p>
    <w:p w:rsidR="000D611A" w:rsidRPr="00E74C77" w:rsidRDefault="000D611A" w:rsidP="00E74C77">
      <w:pPr>
        <w:spacing w:line="276" w:lineRule="auto"/>
        <w:rPr>
          <w:rFonts w:ascii="Arial" w:hAnsi="Arial" w:cs="Arial"/>
          <w:sz w:val="18"/>
          <w:szCs w:val="18"/>
        </w:rPr>
      </w:pPr>
      <w:r w:rsidRPr="00E74C77">
        <w:rPr>
          <w:rFonts w:ascii="Arial" w:hAnsi="Arial" w:cs="Arial"/>
          <w:sz w:val="18"/>
          <w:szCs w:val="18"/>
        </w:rPr>
        <w:t>https://de.wikipedia.org/wiki/Bettfedernfabrik_Straus_%26_Cie., http://52376928.swh.strato-hosting.eu/bvut/pdf/STRAUS-DINA4.pdf, http://52376928.swh.strato-hosting.eu/bvut/pdf/Straus-Bettfedernfabriken-Festschrift-1902-Wirtemberg-de.pdf</w:t>
      </w:r>
      <w:r w:rsidR="00E74C77">
        <w:rPr>
          <w:rFonts w:ascii="Arial" w:hAnsi="Arial" w:cs="Arial"/>
          <w:sz w:val="18"/>
          <w:szCs w:val="18"/>
        </w:rPr>
        <w:t>.</w:t>
      </w: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Pr="00E74C77" w:rsidRDefault="000D611A" w:rsidP="00E74C77">
      <w:pPr>
        <w:spacing w:line="360" w:lineRule="auto"/>
        <w:jc w:val="center"/>
        <w:rPr>
          <w:rFonts w:ascii="Arial" w:hAnsi="Arial" w:cs="Arial"/>
          <w:b/>
          <w:sz w:val="22"/>
          <w:szCs w:val="22"/>
        </w:rPr>
      </w:pPr>
      <w:r w:rsidRPr="00E74C77">
        <w:rPr>
          <w:rFonts w:ascii="Arial" w:hAnsi="Arial" w:cs="Arial"/>
          <w:b/>
          <w:noProof/>
          <w:sz w:val="22"/>
          <w:szCs w:val="22"/>
        </w:rPr>
        <w:lastRenderedPageBreak/>
        <w:drawing>
          <wp:anchor distT="0" distB="0" distL="114300" distR="114300" simplePos="0" relativeHeight="251661312" behindDoc="0" locked="0" layoutInCell="1" allowOverlap="1" wp14:anchorId="2FEEC33C" wp14:editId="75C4B1A1">
            <wp:simplePos x="0" y="0"/>
            <wp:positionH relativeFrom="column">
              <wp:posOffset>3175</wp:posOffset>
            </wp:positionH>
            <wp:positionV relativeFrom="paragraph">
              <wp:posOffset>271780</wp:posOffset>
            </wp:positionV>
            <wp:extent cx="5527040" cy="1636395"/>
            <wp:effectExtent l="0" t="0" r="0" b="1905"/>
            <wp:wrapSquare wrapText="bothSides"/>
            <wp:docPr id="3" name="Grafik 3" descr="https://upload.wikimedia.org/wikipedia/commons/thumb/4/4c/Bruno_Frank%2C_106.jpg/390px-Bruno_Frank%2C_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thumb/4/4c/Bruno_Frank%2C_106.jpg/390px-Bruno_Frank%2C_10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27040" cy="1636395"/>
                    </a:xfrm>
                    <a:prstGeom prst="rect">
                      <a:avLst/>
                    </a:prstGeom>
                    <a:noFill/>
                    <a:ln>
                      <a:noFill/>
                    </a:ln>
                  </pic:spPr>
                </pic:pic>
              </a:graphicData>
            </a:graphic>
            <wp14:sizeRelH relativeFrom="page">
              <wp14:pctWidth>0</wp14:pctWidth>
            </wp14:sizeRelH>
            <wp14:sizeRelV relativeFrom="page">
              <wp14:pctHeight>0</wp14:pctHeight>
            </wp14:sizeRelV>
          </wp:anchor>
        </w:drawing>
      </w:r>
      <w:r w:rsidR="00464A8C">
        <w:rPr>
          <w:rFonts w:ascii="Arial" w:hAnsi="Arial" w:cs="Arial"/>
          <w:b/>
          <w:sz w:val="22"/>
          <w:szCs w:val="22"/>
        </w:rPr>
        <w:t xml:space="preserve">M3 </w:t>
      </w:r>
      <w:r w:rsidRPr="00E74C77">
        <w:rPr>
          <w:rFonts w:ascii="Arial" w:hAnsi="Arial" w:cs="Arial"/>
          <w:b/>
          <w:sz w:val="22"/>
          <w:szCs w:val="22"/>
        </w:rPr>
        <w:t>Gebr. Rosenfeld, Bank- und Wechselgeschäft</w:t>
      </w:r>
    </w:p>
    <w:p w:rsidR="000D611A" w:rsidRDefault="000D611A" w:rsidP="00E74C77">
      <w:pPr>
        <w:spacing w:line="360" w:lineRule="auto"/>
        <w:jc w:val="both"/>
        <w:rPr>
          <w:rFonts w:ascii="Arial" w:hAnsi="Arial" w:cs="Arial"/>
          <w:sz w:val="22"/>
          <w:szCs w:val="22"/>
        </w:rPr>
      </w:pPr>
      <w:r w:rsidRPr="00EA6599">
        <w:rPr>
          <w:rFonts w:ascii="Arial" w:hAnsi="Arial" w:cs="Arial"/>
          <w:sz w:val="22"/>
          <w:szCs w:val="22"/>
        </w:rPr>
        <w:t>Bei dem Bankhaus der Gebrüder Rosenfeld handelte es sich um eine württembergische Privatbank in Stuttgart. Bis zur Mitte des 19. Jahrhunderts konnte man in Württemberg nur ein wenig entwickeltes Bank</w:t>
      </w:r>
      <w:r>
        <w:rPr>
          <w:rFonts w:ascii="Arial" w:hAnsi="Arial" w:cs="Arial"/>
          <w:sz w:val="22"/>
          <w:szCs w:val="22"/>
        </w:rPr>
        <w:t>w</w:t>
      </w:r>
      <w:r w:rsidRPr="00EA6599">
        <w:rPr>
          <w:rFonts w:ascii="Arial" w:hAnsi="Arial" w:cs="Arial"/>
          <w:sz w:val="22"/>
          <w:szCs w:val="22"/>
        </w:rPr>
        <w:t xml:space="preserve">esen vorfinden. </w:t>
      </w:r>
      <w:r>
        <w:rPr>
          <w:rFonts w:ascii="Arial" w:hAnsi="Arial" w:cs="Arial"/>
          <w:sz w:val="22"/>
          <w:szCs w:val="22"/>
        </w:rPr>
        <w:t xml:space="preserve">Die Württembergische Hofbank war die einzig größere Bank und stand auch unter jüdischer Leitung. </w:t>
      </w:r>
    </w:p>
    <w:p w:rsidR="000D611A" w:rsidRPr="00EA6599" w:rsidRDefault="000D611A" w:rsidP="00E74C77">
      <w:pPr>
        <w:spacing w:line="360" w:lineRule="auto"/>
        <w:jc w:val="both"/>
        <w:rPr>
          <w:rFonts w:ascii="Arial" w:hAnsi="Arial" w:cs="Arial"/>
          <w:sz w:val="22"/>
          <w:szCs w:val="22"/>
        </w:rPr>
      </w:pPr>
      <w:r w:rsidRPr="00EA6599">
        <w:rPr>
          <w:rFonts w:ascii="Arial" w:hAnsi="Arial" w:cs="Arial"/>
          <w:sz w:val="22"/>
          <w:szCs w:val="22"/>
        </w:rPr>
        <w:t xml:space="preserve">Bis zum Beginn des ersten Weltkrieges entwickelte sich das Geschäft in der Privatbank glänzend, die Firmeninhaber gehörten zu den neu aufstrebenden Reichen der jüdischen Gemeinde in Stuttgart und Sigismund Frank verfügte ungefähr über ein Privatvermögen von </w:t>
      </w:r>
      <w:r w:rsidR="008136D1">
        <w:rPr>
          <w:rFonts w:ascii="Arial" w:hAnsi="Arial" w:cs="Arial"/>
          <w:sz w:val="22"/>
          <w:szCs w:val="22"/>
        </w:rPr>
        <w:t>zwei</w:t>
      </w:r>
      <w:r w:rsidRPr="00EA6599">
        <w:rPr>
          <w:rFonts w:ascii="Arial" w:hAnsi="Arial" w:cs="Arial"/>
          <w:sz w:val="22"/>
          <w:szCs w:val="22"/>
        </w:rPr>
        <w:t xml:space="preserve"> Millionen Mark (das wären heute fast 10 Millionen Euro) und über ein Jahreseinkommen von 140.000.</w:t>
      </w:r>
      <w:r>
        <w:rPr>
          <w:rFonts w:ascii="Arial" w:hAnsi="Arial" w:cs="Arial"/>
          <w:sz w:val="22"/>
          <w:szCs w:val="22"/>
        </w:rPr>
        <w:t xml:space="preserve"> Damit war er einer der 250 Millionäre in Stuttgart, wovon 33 Juden waren. </w:t>
      </w:r>
    </w:p>
    <w:p w:rsidR="000D611A" w:rsidRPr="00E74C77" w:rsidRDefault="000D611A" w:rsidP="00E74C77">
      <w:pPr>
        <w:jc w:val="both"/>
        <w:rPr>
          <w:rFonts w:ascii="Arial" w:hAnsi="Arial" w:cs="Arial"/>
          <w:color w:val="000000" w:themeColor="text1"/>
          <w:sz w:val="18"/>
          <w:szCs w:val="18"/>
        </w:rPr>
      </w:pPr>
      <w:r w:rsidRPr="00E74C77">
        <w:rPr>
          <w:rFonts w:ascii="Arial" w:hAnsi="Arial" w:cs="Arial"/>
          <w:color w:val="000000" w:themeColor="text1"/>
          <w:sz w:val="18"/>
          <w:szCs w:val="18"/>
        </w:rPr>
        <w:t xml:space="preserve">https://de.wikipedia.org/wiki/Bankhaus_Gebr._Rosenfeld, </w:t>
      </w:r>
      <w:r w:rsidRPr="00E74C77">
        <w:rPr>
          <w:rFonts w:ascii="Arial" w:hAnsi="Arial" w:cs="Arial"/>
          <w:color w:val="000000" w:themeColor="text1"/>
          <w:sz w:val="18"/>
          <w:szCs w:val="18"/>
          <w:shd w:val="clear" w:color="auto" w:fill="FFFFFF"/>
        </w:rPr>
        <w:t>Sigismund Frank (1949-1930),</w:t>
      </w:r>
      <w:r w:rsidRPr="00E74C77">
        <w:rPr>
          <w:rStyle w:val="apple-converted-space"/>
          <w:rFonts w:ascii="Arial" w:hAnsi="Arial" w:cs="Arial"/>
          <w:color w:val="000000" w:themeColor="text1"/>
          <w:sz w:val="18"/>
          <w:szCs w:val="18"/>
          <w:shd w:val="clear" w:color="auto" w:fill="FFFFFF"/>
        </w:rPr>
        <w:t> </w:t>
      </w:r>
      <w:hyperlink r:id="rId15" w:tgtFrame="_blank" w:history="1">
        <w:r w:rsidRPr="00E74C77">
          <w:rPr>
            <w:rStyle w:val="Hyperlink"/>
            <w:rFonts w:ascii="Arial" w:hAnsi="Arial" w:cs="Arial"/>
            <w:color w:val="000000" w:themeColor="text1"/>
            <w:sz w:val="18"/>
            <w:szCs w:val="18"/>
            <w:u w:val="none"/>
          </w:rPr>
          <w:t>Bruno Frank, 106</w:t>
        </w:r>
      </w:hyperlink>
      <w:r w:rsidRPr="00E74C77">
        <w:rPr>
          <w:rFonts w:ascii="Arial" w:hAnsi="Arial" w:cs="Arial"/>
          <w:color w:val="000000" w:themeColor="text1"/>
          <w:sz w:val="18"/>
          <w:szCs w:val="18"/>
          <w:shd w:val="clear" w:color="auto" w:fill="FFFFFF"/>
        </w:rPr>
        <w:t>, als gemeinfrei gekennzeichnet, Details auf</w:t>
      </w:r>
      <w:r w:rsidRPr="00E74C77">
        <w:rPr>
          <w:rStyle w:val="apple-converted-space"/>
          <w:rFonts w:ascii="Arial" w:hAnsi="Arial" w:cs="Arial"/>
          <w:color w:val="000000" w:themeColor="text1"/>
          <w:sz w:val="18"/>
          <w:szCs w:val="18"/>
          <w:shd w:val="clear" w:color="auto" w:fill="FFFFFF"/>
        </w:rPr>
        <w:t> </w:t>
      </w:r>
      <w:hyperlink r:id="rId16" w:tgtFrame="_blank" w:history="1">
        <w:r w:rsidRPr="00E74C77">
          <w:rPr>
            <w:rStyle w:val="Hyperlink"/>
            <w:rFonts w:ascii="Arial" w:hAnsi="Arial" w:cs="Arial"/>
            <w:color w:val="000000" w:themeColor="text1"/>
            <w:sz w:val="18"/>
            <w:szCs w:val="18"/>
            <w:u w:val="none"/>
          </w:rPr>
          <w:t>Wikimedia Commons</w:t>
        </w:r>
      </w:hyperlink>
      <w:r w:rsidR="00E74C77" w:rsidRPr="00E74C77">
        <w:rPr>
          <w:rStyle w:val="Hyperlink"/>
          <w:rFonts w:ascii="Arial" w:hAnsi="Arial" w:cs="Arial"/>
          <w:color w:val="000000" w:themeColor="text1"/>
          <w:sz w:val="18"/>
          <w:szCs w:val="18"/>
          <w:u w:val="none"/>
        </w:rPr>
        <w:t>.</w:t>
      </w: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Pr="00E74C77" w:rsidRDefault="00464A8C" w:rsidP="00E74C77">
      <w:pPr>
        <w:spacing w:line="276" w:lineRule="auto"/>
        <w:jc w:val="center"/>
        <w:rPr>
          <w:rFonts w:ascii="Arial" w:hAnsi="Arial" w:cs="Arial"/>
          <w:b/>
          <w:color w:val="000000" w:themeColor="text1"/>
          <w:sz w:val="22"/>
          <w:szCs w:val="22"/>
        </w:rPr>
      </w:pPr>
      <w:r>
        <w:rPr>
          <w:rFonts w:ascii="Arial" w:hAnsi="Arial" w:cs="Arial"/>
          <w:b/>
          <w:color w:val="000000" w:themeColor="text1"/>
          <w:sz w:val="22"/>
          <w:szCs w:val="22"/>
        </w:rPr>
        <w:lastRenderedPageBreak/>
        <w:t xml:space="preserve">M3 </w:t>
      </w:r>
      <w:r w:rsidR="000D611A" w:rsidRPr="00E74C77">
        <w:rPr>
          <w:rFonts w:ascii="Arial" w:hAnsi="Arial" w:cs="Arial"/>
          <w:b/>
          <w:color w:val="000000" w:themeColor="text1"/>
          <w:sz w:val="22"/>
          <w:szCs w:val="22"/>
        </w:rPr>
        <w:t>Rudolf Benedikt Kaulla</w:t>
      </w:r>
    </w:p>
    <w:p w:rsidR="000D611A" w:rsidRPr="00FC170B" w:rsidRDefault="000D611A" w:rsidP="000D611A">
      <w:pPr>
        <w:spacing w:line="276" w:lineRule="auto"/>
        <w:rPr>
          <w:rFonts w:ascii="Arial" w:hAnsi="Arial" w:cs="Arial"/>
          <w:color w:val="000000" w:themeColor="text1"/>
          <w:sz w:val="22"/>
          <w:szCs w:val="22"/>
        </w:rPr>
      </w:pPr>
    </w:p>
    <w:p w:rsidR="000D611A" w:rsidRPr="00FC170B" w:rsidRDefault="000D611A" w:rsidP="00E74C77">
      <w:pPr>
        <w:spacing w:line="360" w:lineRule="auto"/>
        <w:jc w:val="both"/>
        <w:rPr>
          <w:rFonts w:ascii="Arial" w:hAnsi="Arial" w:cs="Arial"/>
          <w:color w:val="000000" w:themeColor="text1"/>
          <w:sz w:val="22"/>
          <w:szCs w:val="22"/>
        </w:rPr>
      </w:pPr>
      <w:r w:rsidRPr="00FC170B">
        <w:rPr>
          <w:rFonts w:ascii="Arial" w:hAnsi="Arial" w:cs="Arial"/>
          <w:noProof/>
          <w:color w:val="000000" w:themeColor="text1"/>
          <w:sz w:val="22"/>
          <w:szCs w:val="22"/>
        </w:rPr>
        <w:drawing>
          <wp:anchor distT="0" distB="0" distL="114300" distR="114300" simplePos="0" relativeHeight="251662336" behindDoc="0" locked="0" layoutInCell="1" allowOverlap="1" wp14:anchorId="15DF6FB7" wp14:editId="37CD8DA2">
            <wp:simplePos x="0" y="0"/>
            <wp:positionH relativeFrom="column">
              <wp:posOffset>3175</wp:posOffset>
            </wp:positionH>
            <wp:positionV relativeFrom="paragraph">
              <wp:posOffset>662417</wp:posOffset>
            </wp:positionV>
            <wp:extent cx="1782445" cy="2381885"/>
            <wp:effectExtent l="0" t="0" r="0" b="5715"/>
            <wp:wrapSquare wrapText="bothSides"/>
            <wp:docPr id="4" name="Grafik 4" descr="/var/folders/v7/0yy1sq155b9b5x7_9trtv_z00000gn/T/com.microsoft.Word/WebArchiveCopyPasteTempFiles/225px-Rudolf_Kau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ar/folders/v7/0yy1sq155b9b5x7_9trtv_z00000gn/T/com.microsoft.Word/WebArchiveCopyPasteTempFiles/225px-Rudolf_Kaull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82445" cy="2381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170B">
        <w:rPr>
          <w:rFonts w:ascii="Arial" w:hAnsi="Arial" w:cs="Arial"/>
          <w:color w:val="000000" w:themeColor="text1"/>
          <w:sz w:val="22"/>
          <w:szCs w:val="22"/>
        </w:rPr>
        <w:t xml:space="preserve">Rudolf Kaulla war ein deutscher Hochschullehrer für Wirtschaft an der Universität Stuttgart und Teilhaber der Bank Jakob S.H. Stern. Geboren 1872 in Stuttgart besuchte er das Karlsgymnasium und studierte in Lausanne, Straßburg, Leipzig, Tübingen und München. Nach dem Erwerb seines Doktor- und Professorentitels war er ab 1904 an der Technischen Hochschule Stuttgart und von 1910 bis 1919 außerordentlicher Professor für </w:t>
      </w:r>
      <w:r w:rsidRPr="00FC170B">
        <w:rPr>
          <w:rFonts w:ascii="Arial" w:hAnsi="Arial" w:cs="Arial"/>
          <w:color w:val="000000" w:themeColor="text1"/>
          <w:sz w:val="22"/>
          <w:szCs w:val="22"/>
        </w:rPr>
        <w:fldChar w:fldCharType="begin"/>
      </w:r>
      <w:r w:rsidRPr="00FC170B">
        <w:rPr>
          <w:rFonts w:ascii="Arial" w:hAnsi="Arial" w:cs="Arial"/>
          <w:color w:val="000000" w:themeColor="text1"/>
          <w:sz w:val="22"/>
          <w:szCs w:val="22"/>
        </w:rPr>
        <w:instrText xml:space="preserve"> INCLUDEPICTURE "/var/folders/v7/0yy1sq155b9b5x7_9trtv_z00000gn/T/com.microsoft.Word/WebArchiveCopyPasteTempFiles/225px-Rudolf_Kaulla.jpg" \* MERGEFORMATINET </w:instrText>
      </w:r>
      <w:r w:rsidRPr="00FC170B">
        <w:rPr>
          <w:rFonts w:ascii="Arial" w:hAnsi="Arial" w:cs="Arial"/>
          <w:color w:val="000000" w:themeColor="text1"/>
          <w:sz w:val="22"/>
          <w:szCs w:val="22"/>
        </w:rPr>
        <w:fldChar w:fldCharType="end"/>
      </w:r>
      <w:r>
        <w:rPr>
          <w:rFonts w:ascii="Arial" w:hAnsi="Arial" w:cs="Arial"/>
          <w:color w:val="000000" w:themeColor="text1"/>
          <w:sz w:val="22"/>
          <w:szCs w:val="22"/>
        </w:rPr>
        <w:t>V</w:t>
      </w:r>
      <w:r w:rsidRPr="00FC170B">
        <w:rPr>
          <w:rFonts w:ascii="Arial" w:hAnsi="Arial" w:cs="Arial"/>
          <w:color w:val="000000" w:themeColor="text1"/>
          <w:sz w:val="22"/>
          <w:szCs w:val="22"/>
        </w:rPr>
        <w:t xml:space="preserve">olkswirtschaftslehre. </w:t>
      </w:r>
    </w:p>
    <w:p w:rsidR="000D611A" w:rsidRPr="00FC170B" w:rsidRDefault="000D611A" w:rsidP="00E74C77">
      <w:pPr>
        <w:spacing w:line="360" w:lineRule="auto"/>
        <w:jc w:val="both"/>
        <w:rPr>
          <w:rFonts w:ascii="Arial" w:hAnsi="Arial" w:cs="Arial"/>
          <w:color w:val="000000" w:themeColor="text1"/>
          <w:sz w:val="22"/>
          <w:szCs w:val="22"/>
        </w:rPr>
      </w:pPr>
      <w:r w:rsidRPr="00FC170B">
        <w:rPr>
          <w:rFonts w:ascii="Arial" w:hAnsi="Arial" w:cs="Arial"/>
          <w:color w:val="000000" w:themeColor="text1"/>
          <w:sz w:val="22"/>
          <w:szCs w:val="22"/>
        </w:rPr>
        <w:t xml:space="preserve">Zusätzlich dazu gehörte er dem Aufsichtsrat der Königlich Württembergischen Hofbank an, die seine Vorfahrin, Karoline Kaulla (1739-1809) mitbegründet hatte. Bei der Hofbank handelte es sich um die erste Privatbank Stuttgarts. Aufgabe dieser Bank war die Abwicklung königlicher Geldgeschäfte. </w:t>
      </w:r>
    </w:p>
    <w:p w:rsidR="000D611A" w:rsidRPr="00FC170B" w:rsidRDefault="000D611A" w:rsidP="00E74C77">
      <w:pPr>
        <w:spacing w:line="360" w:lineRule="auto"/>
        <w:jc w:val="both"/>
        <w:rPr>
          <w:rFonts w:ascii="Arial" w:hAnsi="Arial" w:cs="Arial"/>
          <w:color w:val="000000" w:themeColor="text1"/>
          <w:sz w:val="22"/>
          <w:szCs w:val="22"/>
        </w:rPr>
      </w:pPr>
      <w:r w:rsidRPr="00FC170B">
        <w:rPr>
          <w:rFonts w:ascii="Arial" w:hAnsi="Arial" w:cs="Arial"/>
          <w:color w:val="000000" w:themeColor="text1"/>
          <w:sz w:val="22"/>
          <w:szCs w:val="22"/>
        </w:rPr>
        <w:t xml:space="preserve">Rudolf Kaulla hatte im Jahr 1914 ein geschätztes Vermögen von neun Millionen Mark. </w:t>
      </w:r>
    </w:p>
    <w:p w:rsidR="000D611A" w:rsidRPr="00FC170B" w:rsidRDefault="000D611A" w:rsidP="00E74C77">
      <w:pPr>
        <w:spacing w:line="276" w:lineRule="auto"/>
        <w:jc w:val="both"/>
        <w:rPr>
          <w:rFonts w:ascii="Arial" w:hAnsi="Arial" w:cs="Arial"/>
          <w:color w:val="000000" w:themeColor="text1"/>
          <w:sz w:val="22"/>
          <w:szCs w:val="22"/>
        </w:rPr>
      </w:pPr>
    </w:p>
    <w:p w:rsidR="000D611A" w:rsidRPr="00FC170B" w:rsidRDefault="000D611A" w:rsidP="000D611A">
      <w:pPr>
        <w:spacing w:line="276" w:lineRule="auto"/>
        <w:rPr>
          <w:rFonts w:ascii="Arial" w:hAnsi="Arial" w:cs="Arial"/>
          <w:color w:val="000000" w:themeColor="text1"/>
          <w:sz w:val="20"/>
          <w:szCs w:val="20"/>
        </w:rPr>
      </w:pPr>
    </w:p>
    <w:p w:rsidR="000D611A" w:rsidRPr="00E74C77" w:rsidRDefault="000D611A" w:rsidP="00E74C77">
      <w:pPr>
        <w:jc w:val="both"/>
        <w:rPr>
          <w:rFonts w:ascii="Arial" w:hAnsi="Arial" w:cs="Arial"/>
          <w:color w:val="000000" w:themeColor="text1"/>
          <w:sz w:val="18"/>
          <w:szCs w:val="18"/>
        </w:rPr>
      </w:pPr>
      <w:r w:rsidRPr="00E74C77">
        <w:rPr>
          <w:rFonts w:ascii="Arial" w:hAnsi="Arial" w:cs="Arial"/>
          <w:color w:val="000000" w:themeColor="text1"/>
          <w:sz w:val="18"/>
          <w:szCs w:val="18"/>
          <w:shd w:val="clear" w:color="auto" w:fill="FFFFFF"/>
        </w:rPr>
        <w:t>https://de.wikipedia.org/wiki/Rudolf_Kaulla, https://de.wikipedia.org/wiki/Karoline_Kaulla, William Ossipow, Enkel von Rudolf Kaulla,</w:t>
      </w:r>
      <w:r w:rsidRPr="00E74C77">
        <w:rPr>
          <w:rStyle w:val="apple-converted-space"/>
          <w:rFonts w:ascii="Arial" w:hAnsi="Arial" w:cs="Arial"/>
          <w:color w:val="000000" w:themeColor="text1"/>
          <w:sz w:val="18"/>
          <w:szCs w:val="18"/>
          <w:shd w:val="clear" w:color="auto" w:fill="FFFFFF"/>
        </w:rPr>
        <w:t> </w:t>
      </w:r>
      <w:hyperlink r:id="rId18" w:tgtFrame="_blank" w:history="1">
        <w:r w:rsidRPr="00E74C77">
          <w:rPr>
            <w:rStyle w:val="Hyperlink"/>
            <w:rFonts w:ascii="Arial" w:hAnsi="Arial" w:cs="Arial"/>
            <w:color w:val="000000" w:themeColor="text1"/>
            <w:sz w:val="18"/>
            <w:szCs w:val="18"/>
            <w:u w:val="none"/>
          </w:rPr>
          <w:t>Rudolf Kaulla</w:t>
        </w:r>
      </w:hyperlink>
      <w:r w:rsidRPr="00E74C77">
        <w:rPr>
          <w:rFonts w:ascii="Arial" w:hAnsi="Arial" w:cs="Arial"/>
          <w:color w:val="000000" w:themeColor="text1"/>
          <w:sz w:val="18"/>
          <w:szCs w:val="18"/>
          <w:shd w:val="clear" w:color="auto" w:fill="FFFFFF"/>
        </w:rPr>
        <w:t>,</w:t>
      </w:r>
      <w:r w:rsidRPr="00E74C77">
        <w:rPr>
          <w:rStyle w:val="apple-converted-space"/>
          <w:rFonts w:ascii="Arial" w:hAnsi="Arial" w:cs="Arial"/>
          <w:color w:val="000000" w:themeColor="text1"/>
          <w:sz w:val="18"/>
          <w:szCs w:val="18"/>
          <w:shd w:val="clear" w:color="auto" w:fill="FFFFFF"/>
        </w:rPr>
        <w:t> </w:t>
      </w:r>
      <w:hyperlink r:id="rId19" w:tgtFrame="_blank" w:history="1">
        <w:r w:rsidRPr="00E74C77">
          <w:rPr>
            <w:rStyle w:val="Hyperlink"/>
            <w:rFonts w:ascii="Arial" w:hAnsi="Arial" w:cs="Arial"/>
            <w:color w:val="000000" w:themeColor="text1"/>
            <w:sz w:val="18"/>
            <w:szCs w:val="18"/>
            <w:u w:val="none"/>
          </w:rPr>
          <w:t>CC BY 3.0</w:t>
        </w:r>
      </w:hyperlink>
      <w:r w:rsidR="00E74C77" w:rsidRPr="00E74C77">
        <w:rPr>
          <w:rStyle w:val="Hyperlink"/>
          <w:rFonts w:ascii="Arial" w:hAnsi="Arial" w:cs="Arial"/>
          <w:color w:val="000000" w:themeColor="text1"/>
          <w:sz w:val="18"/>
          <w:szCs w:val="18"/>
          <w:u w:val="none"/>
        </w:rPr>
        <w:t>.</w:t>
      </w:r>
    </w:p>
    <w:p w:rsidR="000D611A" w:rsidRPr="00FC170B" w:rsidRDefault="000D611A" w:rsidP="000D611A">
      <w:pPr>
        <w:spacing w:line="276" w:lineRule="auto"/>
        <w:rPr>
          <w:rFonts w:ascii="Arial" w:hAnsi="Arial" w:cs="Arial"/>
          <w:color w:val="000000" w:themeColor="text1"/>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E74C77" w:rsidRDefault="00E74C77"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Default="000D611A" w:rsidP="000D611A">
      <w:pPr>
        <w:spacing w:line="276" w:lineRule="auto"/>
        <w:rPr>
          <w:rFonts w:ascii="Arial" w:hAnsi="Arial" w:cs="Arial"/>
          <w:sz w:val="22"/>
          <w:szCs w:val="22"/>
        </w:rPr>
      </w:pPr>
    </w:p>
    <w:p w:rsidR="000D611A" w:rsidRPr="00E74C77" w:rsidRDefault="00464A8C" w:rsidP="00E74C77">
      <w:pPr>
        <w:spacing w:line="360" w:lineRule="auto"/>
        <w:jc w:val="center"/>
        <w:rPr>
          <w:rFonts w:ascii="Arial" w:hAnsi="Arial" w:cs="Arial"/>
          <w:b/>
          <w:sz w:val="22"/>
          <w:szCs w:val="22"/>
        </w:rPr>
      </w:pPr>
      <w:r>
        <w:rPr>
          <w:rFonts w:ascii="Arial" w:hAnsi="Arial" w:cs="Arial"/>
          <w:b/>
          <w:sz w:val="22"/>
          <w:szCs w:val="22"/>
        </w:rPr>
        <w:lastRenderedPageBreak/>
        <w:t xml:space="preserve">M3 </w:t>
      </w:r>
      <w:bookmarkStart w:id="0" w:name="_GoBack"/>
      <w:bookmarkEnd w:id="0"/>
      <w:r w:rsidR="000D611A" w:rsidRPr="00E74C77">
        <w:rPr>
          <w:rFonts w:ascii="Arial" w:hAnsi="Arial" w:cs="Arial"/>
          <w:b/>
          <w:sz w:val="22"/>
          <w:szCs w:val="22"/>
        </w:rPr>
        <w:t>Thekla Kauffmann</w:t>
      </w:r>
    </w:p>
    <w:p w:rsidR="000D611A" w:rsidRDefault="000D611A" w:rsidP="000D611A">
      <w:pPr>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4384" behindDoc="0" locked="0" layoutInCell="1" allowOverlap="1" wp14:anchorId="63BF44A2" wp14:editId="3BB8F150">
            <wp:simplePos x="0" y="0"/>
            <wp:positionH relativeFrom="column">
              <wp:posOffset>3175</wp:posOffset>
            </wp:positionH>
            <wp:positionV relativeFrom="paragraph">
              <wp:posOffset>21307</wp:posOffset>
            </wp:positionV>
            <wp:extent cx="2025650" cy="3251200"/>
            <wp:effectExtent l="0" t="0" r="635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3e41643-9e00-4786-a9f0-034a5e5a7c79.png"/>
                    <pic:cNvPicPr/>
                  </pic:nvPicPr>
                  <pic:blipFill>
                    <a:blip r:embed="rId20">
                      <a:extLst>
                        <a:ext uri="{28A0092B-C50C-407E-A947-70E740481C1C}">
                          <a14:useLocalDpi xmlns:a14="http://schemas.microsoft.com/office/drawing/2010/main" val="0"/>
                        </a:ext>
                      </a:extLst>
                    </a:blip>
                    <a:stretch>
                      <a:fillRect/>
                    </a:stretch>
                  </pic:blipFill>
                  <pic:spPr>
                    <a:xfrm>
                      <a:off x="0" y="0"/>
                      <a:ext cx="2025650" cy="325120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2"/>
          <w:szCs w:val="22"/>
        </w:rPr>
        <w:t xml:space="preserve">Thekla Kaufmann wurde am 18. Januar 1883 als Kind eines jüdischen Fabrikanten in Stuttgart geboren. Sie stammt aus einem jüdischen Elternhaus. Vor dem ersten Weltkrieg setzte sie sich aktiv für das Stimmrecht für Frauen bei Wahlen ein. </w:t>
      </w:r>
    </w:p>
    <w:p w:rsidR="000D611A" w:rsidRDefault="000D611A" w:rsidP="000D611A">
      <w:pPr>
        <w:spacing w:line="360" w:lineRule="auto"/>
        <w:jc w:val="both"/>
        <w:rPr>
          <w:rFonts w:ascii="Arial" w:hAnsi="Arial" w:cs="Arial"/>
          <w:sz w:val="22"/>
          <w:szCs w:val="22"/>
        </w:rPr>
      </w:pPr>
      <w:r>
        <w:rPr>
          <w:rFonts w:ascii="Arial" w:hAnsi="Arial" w:cs="Arial"/>
          <w:sz w:val="22"/>
          <w:szCs w:val="22"/>
        </w:rPr>
        <w:t xml:space="preserve">Thekla Kaufmanns Aufgaben im Frauenwahlverein beinhalteten die Organisation von Veranstaltungen und die Veröffentlichung von Werbebroschüren für das Frauenwahlrecht. </w:t>
      </w:r>
    </w:p>
    <w:p w:rsidR="000D611A" w:rsidRDefault="000D611A" w:rsidP="000D611A">
      <w:pPr>
        <w:spacing w:line="360" w:lineRule="auto"/>
        <w:jc w:val="both"/>
        <w:rPr>
          <w:rFonts w:ascii="Arial" w:hAnsi="Arial" w:cs="Arial"/>
          <w:sz w:val="22"/>
          <w:szCs w:val="22"/>
        </w:rPr>
      </w:pPr>
      <w:r>
        <w:rPr>
          <w:rFonts w:ascii="Arial" w:hAnsi="Arial" w:cs="Arial"/>
          <w:sz w:val="22"/>
          <w:szCs w:val="22"/>
        </w:rPr>
        <w:t>Zusätzlich dazu war sie Mitglied und Vorstand in einem israelitischen Frauenverein. Nach dem ersten Weltkrieg war sie die einzig jüdische Abgeordnete im Landtag von Württemberg. Zu ihren politischen Aufgaben gehörte der Entwurf eines Jugendfürsorgegesetzes.</w:t>
      </w: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Pr="00E74C77" w:rsidRDefault="000D611A" w:rsidP="000D611A">
      <w:pPr>
        <w:rPr>
          <w:sz w:val="18"/>
          <w:szCs w:val="18"/>
        </w:rPr>
      </w:pPr>
      <w:r w:rsidRPr="00E74C77">
        <w:rPr>
          <w:rFonts w:ascii="Arial" w:hAnsi="Arial" w:cs="Arial"/>
          <w:sz w:val="18"/>
          <w:szCs w:val="18"/>
        </w:rPr>
        <w:t xml:space="preserve">https://www.lpb-bw.de/wegbereiterinnen-demokratie, https://de.wikipedia.org/wiki/Thekla_Kauffmann, </w:t>
      </w:r>
      <w:r w:rsidRPr="00E74C77">
        <w:rPr>
          <w:rFonts w:ascii="Arial" w:hAnsi="Arial" w:cs="Arial"/>
          <w:color w:val="000000"/>
          <w:sz w:val="18"/>
          <w:szCs w:val="18"/>
          <w:shd w:val="clear" w:color="auto" w:fill="FFFFFF"/>
        </w:rPr>
        <w:t>andesarchiv BW, Abt. Staatsarchiv Ludwigsburg, Sign.: F 215 Bü</w:t>
      </w:r>
      <w:r w:rsidR="00E74C77" w:rsidRPr="00E74C77">
        <w:rPr>
          <w:rFonts w:ascii="Arial" w:hAnsi="Arial" w:cs="Arial"/>
          <w:color w:val="000000"/>
          <w:sz w:val="18"/>
          <w:szCs w:val="18"/>
          <w:shd w:val="clear" w:color="auto" w:fill="FFFFFF"/>
        </w:rPr>
        <w:t>.</w:t>
      </w: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0D611A" w:rsidRDefault="000D611A" w:rsidP="000D611A">
      <w:pPr>
        <w:spacing w:line="360" w:lineRule="auto"/>
        <w:rPr>
          <w:rFonts w:ascii="Arial" w:hAnsi="Arial" w:cs="Arial"/>
          <w:sz w:val="22"/>
          <w:szCs w:val="22"/>
        </w:rPr>
      </w:pPr>
    </w:p>
    <w:p w:rsidR="009C7DEA" w:rsidRDefault="009C7DEA"/>
    <w:sectPr w:rsidR="009C7DEA" w:rsidSect="00F60A1E">
      <w:footerReference w:type="default" r:id="rId21"/>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557B2" w:rsidRDefault="00F557B2" w:rsidP="00452A8F">
      <w:r>
        <w:separator/>
      </w:r>
    </w:p>
  </w:endnote>
  <w:endnote w:type="continuationSeparator" w:id="0">
    <w:p w:rsidR="00F557B2" w:rsidRDefault="00F557B2" w:rsidP="00452A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52A8F" w:rsidRPr="00452A8F" w:rsidRDefault="00452A8F" w:rsidP="00452A8F">
    <w:pPr>
      <w:jc w:val="center"/>
      <w:rPr>
        <w:sz w:val="21"/>
        <w:szCs w:val="21"/>
      </w:rPr>
    </w:pPr>
    <w:r w:rsidRPr="00C85C83">
      <w:rPr>
        <w:rFonts w:ascii="Helvetica" w:hAnsi="Helvetica"/>
        <w:color w:val="000000"/>
        <w:sz w:val="21"/>
        <w:szCs w:val="21"/>
      </w:rPr>
      <w:t>Arbeitskreis für Landeskunde/Landesgeschichte RP Stuttgart</w:t>
    </w:r>
    <w:r w:rsidRPr="00C85C83">
      <w:rPr>
        <w:rFonts w:ascii="Helvetica" w:hAnsi="Helvetica"/>
        <w:color w:val="000000"/>
        <w:sz w:val="21"/>
        <w:szCs w:val="21"/>
      </w:rPr>
      <w:br/>
    </w:r>
    <w:hyperlink r:id="rId1" w:history="1">
      <w:r w:rsidRPr="00C85C83">
        <w:rPr>
          <w:rFonts w:ascii="Helvetica" w:hAnsi="Helvetica"/>
          <w:color w:val="0000FF"/>
          <w:sz w:val="21"/>
          <w:szCs w:val="21"/>
          <w:u w:val="single"/>
        </w:rPr>
        <w:t>www.landeskunde-bw.de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557B2" w:rsidRDefault="00F557B2" w:rsidP="00452A8F">
      <w:r>
        <w:separator/>
      </w:r>
    </w:p>
  </w:footnote>
  <w:footnote w:type="continuationSeparator" w:id="0">
    <w:p w:rsidR="00F557B2" w:rsidRDefault="00F557B2" w:rsidP="00452A8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6"/>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611A"/>
    <w:rsid w:val="000575A7"/>
    <w:rsid w:val="00061090"/>
    <w:rsid w:val="00063171"/>
    <w:rsid w:val="000D2977"/>
    <w:rsid w:val="000D4BD2"/>
    <w:rsid w:val="000D611A"/>
    <w:rsid w:val="00113554"/>
    <w:rsid w:val="0015743B"/>
    <w:rsid w:val="00173028"/>
    <w:rsid w:val="00193A8A"/>
    <w:rsid w:val="00194CA5"/>
    <w:rsid w:val="001D2CAF"/>
    <w:rsid w:val="001D4069"/>
    <w:rsid w:val="001E7084"/>
    <w:rsid w:val="00220B65"/>
    <w:rsid w:val="002234DB"/>
    <w:rsid w:val="0023788A"/>
    <w:rsid w:val="00257C30"/>
    <w:rsid w:val="00293765"/>
    <w:rsid w:val="002A0936"/>
    <w:rsid w:val="002A5435"/>
    <w:rsid w:val="002C042A"/>
    <w:rsid w:val="002E5392"/>
    <w:rsid w:val="003335D2"/>
    <w:rsid w:val="00344469"/>
    <w:rsid w:val="00350B0D"/>
    <w:rsid w:val="003629E0"/>
    <w:rsid w:val="003646A7"/>
    <w:rsid w:val="003A4166"/>
    <w:rsid w:val="003C081C"/>
    <w:rsid w:val="003C37F6"/>
    <w:rsid w:val="003E3ED3"/>
    <w:rsid w:val="003F601E"/>
    <w:rsid w:val="00410448"/>
    <w:rsid w:val="004223BB"/>
    <w:rsid w:val="00452A8F"/>
    <w:rsid w:val="00464A8C"/>
    <w:rsid w:val="00475F0F"/>
    <w:rsid w:val="00490BF9"/>
    <w:rsid w:val="004C1233"/>
    <w:rsid w:val="004C3752"/>
    <w:rsid w:val="00507187"/>
    <w:rsid w:val="0052025C"/>
    <w:rsid w:val="005302F8"/>
    <w:rsid w:val="005311B8"/>
    <w:rsid w:val="00546716"/>
    <w:rsid w:val="0057459C"/>
    <w:rsid w:val="00595210"/>
    <w:rsid w:val="005B0FD4"/>
    <w:rsid w:val="005D7BA6"/>
    <w:rsid w:val="005F38BA"/>
    <w:rsid w:val="006027E4"/>
    <w:rsid w:val="006229B4"/>
    <w:rsid w:val="00643C86"/>
    <w:rsid w:val="006D62C8"/>
    <w:rsid w:val="006D716F"/>
    <w:rsid w:val="006E0452"/>
    <w:rsid w:val="006E0584"/>
    <w:rsid w:val="00720765"/>
    <w:rsid w:val="0072090B"/>
    <w:rsid w:val="00743311"/>
    <w:rsid w:val="00745A57"/>
    <w:rsid w:val="00746C25"/>
    <w:rsid w:val="0076620B"/>
    <w:rsid w:val="007831BD"/>
    <w:rsid w:val="007A32EE"/>
    <w:rsid w:val="007A4681"/>
    <w:rsid w:val="007D5890"/>
    <w:rsid w:val="007E4974"/>
    <w:rsid w:val="007E71D2"/>
    <w:rsid w:val="007F7096"/>
    <w:rsid w:val="008136D1"/>
    <w:rsid w:val="00820375"/>
    <w:rsid w:val="0083424F"/>
    <w:rsid w:val="00840622"/>
    <w:rsid w:val="00850D9B"/>
    <w:rsid w:val="008804E0"/>
    <w:rsid w:val="00885CF9"/>
    <w:rsid w:val="008B3608"/>
    <w:rsid w:val="008B5C62"/>
    <w:rsid w:val="0091539F"/>
    <w:rsid w:val="0094277B"/>
    <w:rsid w:val="00966EF1"/>
    <w:rsid w:val="009716E0"/>
    <w:rsid w:val="0098001D"/>
    <w:rsid w:val="00990A1A"/>
    <w:rsid w:val="009B24FC"/>
    <w:rsid w:val="009C7DEA"/>
    <w:rsid w:val="009D2624"/>
    <w:rsid w:val="009E20D1"/>
    <w:rsid w:val="009F150D"/>
    <w:rsid w:val="00A047A9"/>
    <w:rsid w:val="00A20B42"/>
    <w:rsid w:val="00A21ED0"/>
    <w:rsid w:val="00A23FF6"/>
    <w:rsid w:val="00A5254E"/>
    <w:rsid w:val="00A547B1"/>
    <w:rsid w:val="00A76A8A"/>
    <w:rsid w:val="00A8401E"/>
    <w:rsid w:val="00AB5D19"/>
    <w:rsid w:val="00AD62F8"/>
    <w:rsid w:val="00AE3048"/>
    <w:rsid w:val="00AE5523"/>
    <w:rsid w:val="00AE5AC7"/>
    <w:rsid w:val="00AF48AF"/>
    <w:rsid w:val="00B51D08"/>
    <w:rsid w:val="00B53DDD"/>
    <w:rsid w:val="00B5612E"/>
    <w:rsid w:val="00B61E95"/>
    <w:rsid w:val="00B71B51"/>
    <w:rsid w:val="00B76ED5"/>
    <w:rsid w:val="00B8614D"/>
    <w:rsid w:val="00BC7DDB"/>
    <w:rsid w:val="00BF64C5"/>
    <w:rsid w:val="00C10F1C"/>
    <w:rsid w:val="00C12D9F"/>
    <w:rsid w:val="00C173A7"/>
    <w:rsid w:val="00C47144"/>
    <w:rsid w:val="00C50405"/>
    <w:rsid w:val="00C90D97"/>
    <w:rsid w:val="00CC079E"/>
    <w:rsid w:val="00CF0EC8"/>
    <w:rsid w:val="00D02387"/>
    <w:rsid w:val="00D3645E"/>
    <w:rsid w:val="00D47BB0"/>
    <w:rsid w:val="00D548DC"/>
    <w:rsid w:val="00D63648"/>
    <w:rsid w:val="00DB3F10"/>
    <w:rsid w:val="00DB5DC1"/>
    <w:rsid w:val="00E22BDC"/>
    <w:rsid w:val="00E26764"/>
    <w:rsid w:val="00E74C77"/>
    <w:rsid w:val="00E841D7"/>
    <w:rsid w:val="00E962D6"/>
    <w:rsid w:val="00EA0293"/>
    <w:rsid w:val="00EA1E80"/>
    <w:rsid w:val="00EB2682"/>
    <w:rsid w:val="00EC5359"/>
    <w:rsid w:val="00ED0A63"/>
    <w:rsid w:val="00EE45A2"/>
    <w:rsid w:val="00F00005"/>
    <w:rsid w:val="00F10AFD"/>
    <w:rsid w:val="00F1371C"/>
    <w:rsid w:val="00F27065"/>
    <w:rsid w:val="00F30265"/>
    <w:rsid w:val="00F43353"/>
    <w:rsid w:val="00F557B2"/>
    <w:rsid w:val="00F60A1E"/>
    <w:rsid w:val="00F8353F"/>
    <w:rsid w:val="00F90C88"/>
    <w:rsid w:val="00F96D5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1A7B158E"/>
  <w15:chartTrackingRefBased/>
  <w15:docId w15:val="{D3073B9C-908B-4B44-A046-AF67599B4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D611A"/>
    <w:rPr>
      <w:rFonts w:ascii="Times New Roman" w:eastAsia="Times New Roman" w:hAnsi="Times New Roman" w:cs="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pple-converted-space">
    <w:name w:val="apple-converted-space"/>
    <w:basedOn w:val="Absatz-Standardschriftart"/>
    <w:rsid w:val="000D611A"/>
  </w:style>
  <w:style w:type="character" w:styleId="Hyperlink">
    <w:name w:val="Hyperlink"/>
    <w:basedOn w:val="Absatz-Standardschriftart"/>
    <w:uiPriority w:val="99"/>
    <w:unhideWhenUsed/>
    <w:rsid w:val="000D611A"/>
    <w:rPr>
      <w:color w:val="0000FF"/>
      <w:u w:val="single"/>
    </w:rPr>
  </w:style>
  <w:style w:type="paragraph" w:styleId="Kopfzeile">
    <w:name w:val="header"/>
    <w:basedOn w:val="Standard"/>
    <w:link w:val="KopfzeileZchn"/>
    <w:uiPriority w:val="99"/>
    <w:unhideWhenUsed/>
    <w:rsid w:val="00452A8F"/>
    <w:pPr>
      <w:tabs>
        <w:tab w:val="center" w:pos="4536"/>
        <w:tab w:val="right" w:pos="9072"/>
      </w:tabs>
    </w:pPr>
  </w:style>
  <w:style w:type="character" w:customStyle="1" w:styleId="KopfzeileZchn">
    <w:name w:val="Kopfzeile Zchn"/>
    <w:basedOn w:val="Absatz-Standardschriftart"/>
    <w:link w:val="Kopfzeile"/>
    <w:uiPriority w:val="99"/>
    <w:rsid w:val="00452A8F"/>
    <w:rPr>
      <w:rFonts w:ascii="Times New Roman" w:eastAsia="Times New Roman" w:hAnsi="Times New Roman" w:cs="Times New Roman"/>
      <w:lang w:eastAsia="de-DE"/>
    </w:rPr>
  </w:style>
  <w:style w:type="paragraph" w:styleId="Fuzeile">
    <w:name w:val="footer"/>
    <w:basedOn w:val="Standard"/>
    <w:link w:val="FuzeileZchn"/>
    <w:uiPriority w:val="99"/>
    <w:unhideWhenUsed/>
    <w:rsid w:val="00452A8F"/>
    <w:pPr>
      <w:tabs>
        <w:tab w:val="center" w:pos="4536"/>
        <w:tab w:val="right" w:pos="9072"/>
      </w:tabs>
    </w:pPr>
  </w:style>
  <w:style w:type="character" w:customStyle="1" w:styleId="FuzeileZchn">
    <w:name w:val="Fußzeile Zchn"/>
    <w:basedOn w:val="Absatz-Standardschriftart"/>
    <w:link w:val="Fuzeile"/>
    <w:uiPriority w:val="99"/>
    <w:rsid w:val="00452A8F"/>
    <w:rPr>
      <w:rFonts w:ascii="Times New Roman" w:eastAsia="Times New Roman" w:hAnsi="Times New Roman" w:cs="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ivecommons.org/licenses/by-sa/4.0/legalcode" TargetMode="External"/><Relationship Id="rId13" Type="http://schemas.openxmlformats.org/officeDocument/2006/relationships/image" Target="media/image3.png"/><Relationship Id="rId18" Type="http://schemas.openxmlformats.org/officeDocument/2006/relationships/hyperlink" Target="https://commons.wikimedia.org/wiki/File:Rudolf_Kaulla.jpg" TargetMode="Externa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s://commons.wikimedia.org/wiki/File:Warenhaus_Herm._Tietz_in_Stuttgart.jpg" TargetMode="External"/><Relationship Id="rId12" Type="http://schemas.openxmlformats.org/officeDocument/2006/relationships/hyperlink" Target="https://commons.wikimedia.org/wiki/Template:PD-old" TargetMode="External"/><Relationship Id="rId17" Type="http://schemas.openxmlformats.org/officeDocument/2006/relationships/image" Target="media/image5.jpeg"/><Relationship Id="rId2" Type="http://schemas.openxmlformats.org/officeDocument/2006/relationships/settings" Target="settings.xml"/><Relationship Id="rId16" Type="http://schemas.openxmlformats.org/officeDocument/2006/relationships/hyperlink" Target="https://commons.wikimedia.org/wiki/Template:PD-old" TargetMode="External"/><Relationship Id="rId20" Type="http://schemas.openxmlformats.org/officeDocument/2006/relationships/image" Target="media/image6.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commons.wikimedia.org/wiki/File:HeinrichSontheimWeger.jpg" TargetMode="External"/><Relationship Id="rId5" Type="http://schemas.openxmlformats.org/officeDocument/2006/relationships/endnotes" Target="endnotes.xml"/><Relationship Id="rId15" Type="http://schemas.openxmlformats.org/officeDocument/2006/relationships/hyperlink" Target="https://commons.wikimedia.org/wiki/File:Bruno_Frank,_106.jpg" TargetMode="External"/><Relationship Id="rId23" Type="http://schemas.openxmlformats.org/officeDocument/2006/relationships/theme" Target="theme/theme1.xml"/><Relationship Id="rId10" Type="http://schemas.openxmlformats.org/officeDocument/2006/relationships/hyperlink" Target="https://en.wikipedia.org/wiki/en:August_Weger" TargetMode="External"/><Relationship Id="rId19" Type="http://schemas.openxmlformats.org/officeDocument/2006/relationships/hyperlink" Target="https://creativecommons.org/licenses/by/3.0/legalcode"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andeskunde-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992</Words>
  <Characters>6254</Characters>
  <Application>Microsoft Office Word</Application>
  <DocSecurity>0</DocSecurity>
  <Lines>52</Lines>
  <Paragraphs>14</Paragraphs>
  <ScaleCrop>false</ScaleCrop>
  <Company/>
  <LinksUpToDate>false</LinksUpToDate>
  <CharactersWithSpaces>7232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Neidhardt</dc:creator>
  <cp:keywords/>
  <dc:description/>
  <cp:lastModifiedBy>Stefanie Neidhardt</cp:lastModifiedBy>
  <cp:revision>6</cp:revision>
  <dcterms:created xsi:type="dcterms:W3CDTF">2020-09-15T17:39:00Z</dcterms:created>
  <dcterms:modified xsi:type="dcterms:W3CDTF">2020-11-06T08:49:00Z</dcterms:modified>
</cp:coreProperties>
</file>