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F1" w:rsidRDefault="002C0B90" w:rsidP="00782E94">
      <w:pPr>
        <w:rPr>
          <w:b/>
          <w:sz w:val="24"/>
          <w:szCs w:val="24"/>
        </w:rPr>
      </w:pPr>
      <w:r w:rsidRPr="002C0B9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96.7pt;margin-top:-47.55pt;width:75.75pt;height:39.75pt;z-index:-251658240">
            <v:imagedata r:id="rId4" o:title="Wicosi"/>
          </v:shape>
        </w:pict>
      </w:r>
      <w:r w:rsidR="00F535D6"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4786630</wp:posOffset>
            </wp:positionH>
            <wp:positionV relativeFrom="paragraph">
              <wp:posOffset>-724535</wp:posOffset>
            </wp:positionV>
            <wp:extent cx="1499235" cy="733425"/>
            <wp:effectExtent l="19050" t="0" r="5715" b="0"/>
            <wp:wrapNone/>
            <wp:docPr id="1" name="Bild 1" descr="ls-logo-235x1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ls-logo-235x115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67E6">
        <w:rPr>
          <w:b/>
          <w:sz w:val="24"/>
          <w:szCs w:val="24"/>
        </w:rPr>
        <w:t>Arbeitsblatt</w:t>
      </w:r>
      <w:r w:rsidR="00F535D6">
        <w:rPr>
          <w:b/>
          <w:sz w:val="24"/>
          <w:szCs w:val="24"/>
        </w:rPr>
        <w:t xml:space="preserve">: </w:t>
      </w:r>
      <w:r w:rsidR="00782E94" w:rsidRPr="00782E94">
        <w:rPr>
          <w:b/>
          <w:sz w:val="24"/>
          <w:szCs w:val="24"/>
        </w:rPr>
        <w:t xml:space="preserve">Entscheidung über </w:t>
      </w:r>
      <w:r w:rsidR="0041672C">
        <w:rPr>
          <w:b/>
          <w:sz w:val="24"/>
          <w:szCs w:val="24"/>
        </w:rPr>
        <w:t>die Annahme eines Zusatzauftrags</w:t>
      </w:r>
    </w:p>
    <w:p w:rsidR="00B479ED" w:rsidRPr="00E57C01" w:rsidRDefault="00E57C01" w:rsidP="002D52C7">
      <w:pPr>
        <w:spacing w:after="0"/>
        <w:rPr>
          <w:i/>
          <w:u w:val="single"/>
        </w:rPr>
      </w:pPr>
      <w:r w:rsidRPr="00E57C01">
        <w:rPr>
          <w:i/>
          <w:u w:val="single"/>
        </w:rPr>
        <w:t>Aufgabe 1.</w:t>
      </w:r>
    </w:p>
    <w:p w:rsidR="00E57C01" w:rsidRDefault="004357BA" w:rsidP="0053681A">
      <w:r>
        <w:t>Überprüfen Sie, wie viele Heizungsarmaturen in diesem Monat noch zusätzlich hergestellt werden könnten.</w:t>
      </w:r>
    </w:p>
    <w:p w:rsidR="00E57C01" w:rsidRPr="00E57C01" w:rsidRDefault="00E57C01" w:rsidP="002D52C7">
      <w:pPr>
        <w:spacing w:after="0"/>
        <w:rPr>
          <w:i/>
          <w:u w:val="single"/>
        </w:rPr>
      </w:pPr>
      <w:r w:rsidRPr="00E57C01">
        <w:rPr>
          <w:i/>
          <w:u w:val="single"/>
        </w:rPr>
        <w:t>Aufgabe 2.</w:t>
      </w:r>
    </w:p>
    <w:p w:rsidR="00E57C01" w:rsidRDefault="004357BA" w:rsidP="0053681A">
      <w:r>
        <w:t>Erhöhen Sie die Anzahl der zusätzlich an die Rudolf Sommer GmbH verkauften Einheiten in 50er-Sprüngen. Welche Auswirkung hat die Erhöhung auf das Betriebsergebnis</w:t>
      </w:r>
      <w:r w:rsidR="00E57C01">
        <w:t>?</w:t>
      </w:r>
    </w:p>
    <w:p w:rsidR="00E57C01" w:rsidRPr="00E57C01" w:rsidRDefault="00E57C01" w:rsidP="002D52C7">
      <w:pPr>
        <w:spacing w:after="0"/>
        <w:rPr>
          <w:i/>
          <w:u w:val="single"/>
        </w:rPr>
      </w:pPr>
      <w:r w:rsidRPr="00E57C01">
        <w:rPr>
          <w:i/>
          <w:u w:val="single"/>
        </w:rPr>
        <w:t xml:space="preserve">Aufgabe </w:t>
      </w:r>
      <w:r>
        <w:rPr>
          <w:i/>
          <w:u w:val="single"/>
        </w:rPr>
        <w:t>3</w:t>
      </w:r>
      <w:r w:rsidRPr="00E57C01">
        <w:rPr>
          <w:i/>
          <w:u w:val="single"/>
        </w:rPr>
        <w:t>.</w:t>
      </w:r>
    </w:p>
    <w:p w:rsidR="00E57C01" w:rsidRDefault="00717EDC" w:rsidP="00E57C01">
      <w:r>
        <w:t>Tragen Sie die maximal zusätzlich produzierbare Menge ein und variieren Sie den Preis für die Heizungsarmatur im Zusatzauftrag</w:t>
      </w:r>
      <w:r w:rsidR="00B210FB">
        <w:t xml:space="preserve"> gemäß den in der untenstehenden Tabelle vorgegebenen Werten</w:t>
      </w:r>
      <w:r>
        <w:t>. Tr</w:t>
      </w:r>
      <w:r w:rsidR="007E19DC">
        <w:t>agen Sie die</w:t>
      </w:r>
      <w:r>
        <w:t xml:space="preserve"> </w:t>
      </w:r>
      <w:r w:rsidR="00B210FB">
        <w:t>Beträge</w:t>
      </w:r>
      <w:r>
        <w:t>, die sich bei den verschiedenen Prei</w:t>
      </w:r>
      <w:r w:rsidR="007E19DC">
        <w:t>se</w:t>
      </w:r>
      <w:r>
        <w:t>n</w:t>
      </w:r>
      <w:r w:rsidR="00B210FB">
        <w:t xml:space="preserve"> ergeben,</w:t>
      </w:r>
      <w:r w:rsidR="007E19DC">
        <w:t xml:space="preserve"> in die Tabelle ein:</w:t>
      </w:r>
    </w:p>
    <w:tbl>
      <w:tblPr>
        <w:tblW w:w="95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00"/>
        <w:gridCol w:w="1568"/>
        <w:gridCol w:w="1701"/>
        <w:gridCol w:w="1559"/>
        <w:gridCol w:w="1701"/>
        <w:gridCol w:w="1701"/>
      </w:tblGrid>
      <w:tr w:rsidR="00717EDC" w:rsidRPr="007E19DC" w:rsidTr="00AA7D81">
        <w:trPr>
          <w:trHeight w:val="885"/>
        </w:trPr>
        <w:tc>
          <w:tcPr>
            <w:tcW w:w="1300" w:type="dxa"/>
            <w:shd w:val="clear" w:color="auto" w:fill="auto"/>
            <w:vAlign w:val="bottom"/>
            <w:hideMark/>
          </w:tcPr>
          <w:p w:rsidR="00717EDC" w:rsidRPr="007E19DC" w:rsidRDefault="00717EDC" w:rsidP="00717E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>Pr</w:t>
            </w:r>
            <w:r w:rsidRPr="007E19DC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>e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>is</w:t>
            </w:r>
          </w:p>
        </w:tc>
        <w:tc>
          <w:tcPr>
            <w:tcW w:w="1568" w:type="dxa"/>
            <w:shd w:val="clear" w:color="auto" w:fill="auto"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>Erlöse mit Zusatzauftrag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17EDC" w:rsidRPr="007E19DC" w:rsidRDefault="00717EDC" w:rsidP="00717E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br/>
              <w:t xml:space="preserve">Kosten mit Zusatzauftrag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Betriebs-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>ergebnis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mit Zusatzauftrag</w:t>
            </w:r>
          </w:p>
        </w:tc>
        <w:tc>
          <w:tcPr>
            <w:tcW w:w="1701" w:type="dxa"/>
            <w:vAlign w:val="bottom"/>
          </w:tcPr>
          <w:p w:rsidR="00717EDC" w:rsidRPr="007E19DC" w:rsidRDefault="00717EDC" w:rsidP="006B7A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>Monatliche Fixkosten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>Variable Stückkosten</w:t>
            </w:r>
            <w:r w:rsidRPr="007E19DC">
              <w:rPr>
                <w:rFonts w:ascii="Calibri" w:eastAsia="Times New Roman" w:hAnsi="Calibri" w:cs="Calibri"/>
                <w:i/>
                <w:iCs/>
                <w:color w:val="000000"/>
                <w:lang w:eastAsia="de-DE"/>
              </w:rPr>
              <w:t xml:space="preserve"> </w:t>
            </w:r>
          </w:p>
        </w:tc>
      </w:tr>
      <w:tr w:rsidR="00717EDC" w:rsidRPr="007E19DC" w:rsidTr="00AA7D81">
        <w:trPr>
          <w:trHeight w:val="300"/>
        </w:trPr>
        <w:tc>
          <w:tcPr>
            <w:tcW w:w="1300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5,-</w:t>
            </w:r>
          </w:p>
        </w:tc>
        <w:tc>
          <w:tcPr>
            <w:tcW w:w="1568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000000" w:fill="F2F2F2"/>
            <w:vAlign w:val="bottom"/>
          </w:tcPr>
          <w:p w:rsidR="00717EDC" w:rsidRPr="007E19DC" w:rsidRDefault="00717EDC" w:rsidP="006B7A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717EDC" w:rsidRPr="007E19DC" w:rsidTr="00AA7D81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7,-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vAlign w:val="bottom"/>
          </w:tcPr>
          <w:p w:rsidR="00717EDC" w:rsidRPr="007E19DC" w:rsidRDefault="00717EDC" w:rsidP="006B7A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717EDC" w:rsidRPr="007E19DC" w:rsidTr="00AA7D81">
        <w:trPr>
          <w:trHeight w:val="300"/>
        </w:trPr>
        <w:tc>
          <w:tcPr>
            <w:tcW w:w="1300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9,-</w:t>
            </w:r>
          </w:p>
        </w:tc>
        <w:tc>
          <w:tcPr>
            <w:tcW w:w="1568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000000" w:fill="F2F2F2"/>
            <w:vAlign w:val="bottom"/>
          </w:tcPr>
          <w:p w:rsidR="00717EDC" w:rsidRPr="007E19DC" w:rsidRDefault="00717EDC" w:rsidP="006B7A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717EDC" w:rsidRPr="007E19DC" w:rsidTr="00AA7D81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11,-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vAlign w:val="bottom"/>
          </w:tcPr>
          <w:p w:rsidR="00717EDC" w:rsidRPr="007E19DC" w:rsidRDefault="00717EDC" w:rsidP="006B7A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  <w:tr w:rsidR="00717EDC" w:rsidRPr="007E19DC" w:rsidTr="00AA7D81">
        <w:trPr>
          <w:trHeight w:val="300"/>
        </w:trPr>
        <w:tc>
          <w:tcPr>
            <w:tcW w:w="1300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/>
                <w:lang w:eastAsia="de-DE"/>
              </w:rPr>
              <w:t>13,-</w:t>
            </w:r>
          </w:p>
        </w:tc>
        <w:tc>
          <w:tcPr>
            <w:tcW w:w="1568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000000" w:fill="F2F2F2"/>
            <w:vAlign w:val="bottom"/>
          </w:tcPr>
          <w:p w:rsidR="00717EDC" w:rsidRPr="007E19DC" w:rsidRDefault="00717EDC" w:rsidP="006B7A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de-DE"/>
              </w:rPr>
            </w:pPr>
          </w:p>
        </w:tc>
        <w:tc>
          <w:tcPr>
            <w:tcW w:w="1701" w:type="dxa"/>
            <w:shd w:val="clear" w:color="000000" w:fill="F2F2F2"/>
            <w:noWrap/>
            <w:vAlign w:val="bottom"/>
            <w:hideMark/>
          </w:tcPr>
          <w:p w:rsidR="00717EDC" w:rsidRPr="007E19DC" w:rsidRDefault="00717EDC" w:rsidP="007E19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de-DE"/>
              </w:rPr>
            </w:pPr>
          </w:p>
        </w:tc>
      </w:tr>
    </w:tbl>
    <w:p w:rsidR="00B210FB" w:rsidRDefault="00B210FB" w:rsidP="002D52C7">
      <w:pPr>
        <w:spacing w:after="0"/>
        <w:rPr>
          <w:i/>
          <w:u w:val="single"/>
        </w:rPr>
      </w:pPr>
    </w:p>
    <w:p w:rsidR="00F535D6" w:rsidRPr="00F535D6" w:rsidRDefault="00F535D6" w:rsidP="002D52C7">
      <w:pPr>
        <w:spacing w:after="0"/>
        <w:rPr>
          <w:i/>
          <w:u w:val="single"/>
        </w:rPr>
      </w:pPr>
      <w:r w:rsidRPr="00F535D6">
        <w:rPr>
          <w:i/>
          <w:u w:val="single"/>
        </w:rPr>
        <w:t>Aufgabe 4.</w:t>
      </w:r>
    </w:p>
    <w:p w:rsidR="00F535D6" w:rsidRDefault="00F535D6" w:rsidP="0053681A">
      <w:r>
        <w:t xml:space="preserve">Wie lässt sich das Ergebnis der Aufgabe </w:t>
      </w:r>
      <w:r w:rsidR="00B210FB">
        <w:t>3</w:t>
      </w:r>
      <w:r>
        <w:t xml:space="preserve"> </w:t>
      </w:r>
      <w:r w:rsidR="00B210FB">
        <w:t>interpretieren</w:t>
      </w:r>
      <w:r>
        <w:t>?</w:t>
      </w:r>
      <w:r w:rsidR="00B210FB">
        <w:t xml:space="preserve"> </w:t>
      </w:r>
      <w:r w:rsidR="00C267E6">
        <w:t xml:space="preserve">Vergleichen Sie die jeweiligen Werte für das Betriebsergebnis mit dem Betriebsergebnis ohne Zusatzauftrag. </w:t>
      </w:r>
      <w:r w:rsidR="00B210FB">
        <w:t>Welcher Grundsatz lässt sich daraus ableiten</w:t>
      </w:r>
      <w:r w:rsidR="004048AE">
        <w:t>?</w:t>
      </w:r>
      <w:r w:rsidR="00B210FB">
        <w:t xml:space="preserve"> Verwenden Sie in Ihrer Antwort den Begriff „Stückdeckungsbeitrag“.</w:t>
      </w:r>
    </w:p>
    <w:p w:rsidR="00F535D6" w:rsidRPr="0053681A" w:rsidRDefault="00F535D6" w:rsidP="002D52C7"/>
    <w:sectPr w:rsidR="00F535D6" w:rsidRPr="0053681A" w:rsidSect="002D52C7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/>
  <w:rsids>
    <w:rsidRoot w:val="00782E94"/>
    <w:rsid w:val="00030249"/>
    <w:rsid w:val="00125F25"/>
    <w:rsid w:val="00134443"/>
    <w:rsid w:val="001A668E"/>
    <w:rsid w:val="002400EC"/>
    <w:rsid w:val="002C0B90"/>
    <w:rsid w:val="002D52C7"/>
    <w:rsid w:val="004048AE"/>
    <w:rsid w:val="0041672C"/>
    <w:rsid w:val="004357BA"/>
    <w:rsid w:val="00486F52"/>
    <w:rsid w:val="004B7C8B"/>
    <w:rsid w:val="005020F2"/>
    <w:rsid w:val="0053681A"/>
    <w:rsid w:val="00601B32"/>
    <w:rsid w:val="0060511F"/>
    <w:rsid w:val="00717EDC"/>
    <w:rsid w:val="00782E94"/>
    <w:rsid w:val="007E19DC"/>
    <w:rsid w:val="00813CCC"/>
    <w:rsid w:val="00900D22"/>
    <w:rsid w:val="00911843"/>
    <w:rsid w:val="009572A9"/>
    <w:rsid w:val="009D18D2"/>
    <w:rsid w:val="00B210FB"/>
    <w:rsid w:val="00B479ED"/>
    <w:rsid w:val="00B940A7"/>
    <w:rsid w:val="00C267E6"/>
    <w:rsid w:val="00D601E0"/>
    <w:rsid w:val="00E045B5"/>
    <w:rsid w:val="00E57C01"/>
    <w:rsid w:val="00EA12EC"/>
    <w:rsid w:val="00F535D6"/>
    <w:rsid w:val="00FC6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01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2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6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R012</dc:creator>
  <cp:lastModifiedBy>Jan Wölfer</cp:lastModifiedBy>
  <cp:revision>3</cp:revision>
  <cp:lastPrinted>2017-05-15T11:13:00Z</cp:lastPrinted>
  <dcterms:created xsi:type="dcterms:W3CDTF">2017-05-16T07:23:00Z</dcterms:created>
  <dcterms:modified xsi:type="dcterms:W3CDTF">2017-05-16T07:30:00Z</dcterms:modified>
</cp:coreProperties>
</file>