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313B" w14:textId="77777777" w:rsidR="0005206B" w:rsidRDefault="001C7B3F">
      <w:pPr>
        <w:pStyle w:val="Titel"/>
      </w:pPr>
      <w:r>
        <w:t xml:space="preserve">Aulus </w:t>
      </w:r>
      <w:proofErr w:type="spellStart"/>
      <w:r>
        <w:t>Gellius</w:t>
      </w:r>
      <w:proofErr w:type="spellEnd"/>
      <w:r>
        <w:t xml:space="preserve">: </w:t>
      </w:r>
      <w:proofErr w:type="spellStart"/>
      <w:r>
        <w:t>Noctes</w:t>
      </w:r>
      <w:proofErr w:type="spellEnd"/>
      <w:r>
        <w:t xml:space="preserve"> </w:t>
      </w:r>
      <w:proofErr w:type="spellStart"/>
      <w:r>
        <w:t>Atticae</w:t>
      </w:r>
      <w:proofErr w:type="spellEnd"/>
      <w:r>
        <w:t xml:space="preserve"> 15, 22</w:t>
      </w:r>
    </w:p>
    <w:p w14:paraId="7C3472E1" w14:textId="77777777" w:rsidR="0005206B" w:rsidRDefault="001C7B3F">
      <w:pPr>
        <w:pStyle w:val="berschrift1"/>
      </w:pPr>
      <w:r>
        <w:t>Sertorius und die weiße Hirschkuh – ein genialer Flunkerer</w:t>
      </w:r>
    </w:p>
    <w:p w14:paraId="032828C3" w14:textId="77777777" w:rsidR="0005206B" w:rsidRDefault="001C7B3F">
      <w:pPr>
        <w:rPr>
          <w:sz w:val="22"/>
          <w:szCs w:val="22"/>
        </w:rPr>
      </w:pPr>
      <w:r>
        <w:rPr>
          <w:sz w:val="22"/>
          <w:szCs w:val="22"/>
        </w:rPr>
        <w:t xml:space="preserve">Nach </w:t>
      </w:r>
      <w:proofErr w:type="spellStart"/>
      <w:r>
        <w:rPr>
          <w:sz w:val="22"/>
          <w:szCs w:val="22"/>
        </w:rPr>
        <w:t>Gellius</w:t>
      </w:r>
      <w:proofErr w:type="spellEnd"/>
      <w:r>
        <w:rPr>
          <w:sz w:val="22"/>
          <w:szCs w:val="22"/>
        </w:rPr>
        <w:t xml:space="preserve">, </w:t>
      </w:r>
      <w:proofErr w:type="spellStart"/>
      <w:r>
        <w:rPr>
          <w:sz w:val="22"/>
          <w:szCs w:val="22"/>
        </w:rPr>
        <w:t>Noctes</w:t>
      </w:r>
      <w:proofErr w:type="spellEnd"/>
      <w:r>
        <w:rPr>
          <w:sz w:val="22"/>
          <w:szCs w:val="22"/>
        </w:rPr>
        <w:t xml:space="preserve"> </w:t>
      </w:r>
      <w:proofErr w:type="spellStart"/>
      <w:r>
        <w:rPr>
          <w:sz w:val="22"/>
          <w:szCs w:val="22"/>
        </w:rPr>
        <w:t>Atticae</w:t>
      </w:r>
      <w:proofErr w:type="spellEnd"/>
      <w:r>
        <w:rPr>
          <w:sz w:val="22"/>
          <w:szCs w:val="22"/>
        </w:rPr>
        <w:t xml:space="preserve"> 15,22 – </w:t>
      </w:r>
      <w:r>
        <w:rPr>
          <w:b/>
          <w:bCs/>
          <w:sz w:val="22"/>
          <w:szCs w:val="22"/>
        </w:rPr>
        <w:t>vereinfachte Version</w:t>
      </w:r>
      <w:r>
        <w:rPr>
          <w:sz w:val="22"/>
          <w:szCs w:val="22"/>
        </w:rPr>
        <w:t xml:space="preserve"> – ohne </w:t>
      </w:r>
      <w:proofErr w:type="spellStart"/>
      <w:r>
        <w:rPr>
          <w:sz w:val="22"/>
          <w:szCs w:val="22"/>
        </w:rPr>
        <w:t>nd</w:t>
      </w:r>
      <w:proofErr w:type="spellEnd"/>
      <w:r>
        <w:rPr>
          <w:sz w:val="22"/>
          <w:szCs w:val="22"/>
        </w:rPr>
        <w:t xml:space="preserve">-Formen, </w:t>
      </w:r>
      <w:proofErr w:type="spellStart"/>
      <w:r>
        <w:rPr>
          <w:sz w:val="22"/>
          <w:szCs w:val="22"/>
        </w:rPr>
        <w:t>NcI</w:t>
      </w:r>
      <w:proofErr w:type="spellEnd"/>
      <w:r>
        <w:rPr>
          <w:sz w:val="22"/>
          <w:szCs w:val="22"/>
        </w:rPr>
        <w:t xml:space="preserve"> und ohne Deponentien.</w:t>
      </w:r>
    </w:p>
    <w:p w14:paraId="36B0809B" w14:textId="77777777" w:rsidR="0005206B" w:rsidRDefault="001C7B3F">
      <w:pPr>
        <w:rPr>
          <w:sz w:val="22"/>
          <w:szCs w:val="22"/>
        </w:rPr>
      </w:pPr>
      <w:r>
        <w:rPr>
          <w:sz w:val="22"/>
          <w:szCs w:val="22"/>
        </w:rPr>
        <w:t xml:space="preserve">Es gibt auch eine Version mit dem </w:t>
      </w:r>
      <w:r>
        <w:rPr>
          <w:sz w:val="22"/>
          <w:szCs w:val="22"/>
        </w:rPr>
        <w:t>Originaltext. URL am Ende des Dokuments.</w:t>
      </w:r>
    </w:p>
    <w:p w14:paraId="2C4283E4" w14:textId="77777777" w:rsidR="0005206B" w:rsidRDefault="001C7B3F">
      <w:pPr>
        <w:pStyle w:val="berschrift1"/>
      </w:pPr>
      <w:r>
        <w:t>Zum Hintergrund</w:t>
      </w:r>
    </w:p>
    <w:p w14:paraId="0ECA9A8C" w14:textId="77777777" w:rsidR="0005206B" w:rsidRDefault="001C7B3F">
      <w:pPr>
        <w:jc w:val="both"/>
        <w:rPr>
          <w:sz w:val="22"/>
          <w:szCs w:val="22"/>
        </w:rPr>
      </w:pPr>
      <w:r>
        <w:rPr>
          <w:sz w:val="22"/>
          <w:szCs w:val="22"/>
        </w:rPr>
        <w:t>Q. Sertorius (123-72 v. Chr.) war ein römischer Politiker und Feldherr. Er kämpfte im Bürgerkrieg zwischen Marius und Sulla auf der Seite des Marius und ging nach dessen Niederlage nach Maureta</w:t>
      </w:r>
      <w:r>
        <w:rPr>
          <w:sz w:val="22"/>
          <w:szCs w:val="22"/>
        </w:rPr>
        <w:softHyphen/>
        <w:t xml:space="preserve">nien </w:t>
      </w:r>
      <w:r>
        <w:rPr>
          <w:sz w:val="22"/>
          <w:szCs w:val="22"/>
        </w:rPr>
        <w:t xml:space="preserve">in Nordafrika. Vor dort holten ihn die </w:t>
      </w:r>
      <w:proofErr w:type="spellStart"/>
      <w:r>
        <w:rPr>
          <w:sz w:val="22"/>
          <w:szCs w:val="22"/>
        </w:rPr>
        <w:t>Lusitanier</w:t>
      </w:r>
      <w:proofErr w:type="spellEnd"/>
      <w:r>
        <w:rPr>
          <w:sz w:val="22"/>
          <w:szCs w:val="22"/>
        </w:rPr>
        <w:t xml:space="preserve"> (aus der Gegend des heutigen Portugal), damit er sie im Kampf gegen Rom unterstützte. Er versuchte in Spanien ein Gegenreich zu Rom zu gründen und hielt sich dabei erstaunlich lange. Er wurde schließlich vo</w:t>
      </w:r>
      <w:r>
        <w:rPr>
          <w:sz w:val="22"/>
          <w:szCs w:val="22"/>
        </w:rPr>
        <w:t>n Pompeius besiegt.</w:t>
      </w:r>
    </w:p>
    <w:p w14:paraId="0D97A2BC" w14:textId="77777777" w:rsidR="0005206B" w:rsidRDefault="001C7B3F">
      <w:pPr>
        <w:pStyle w:val="Textkrper"/>
        <w:spacing w:after="57"/>
        <w:jc w:val="both"/>
      </w:pPr>
      <w:r>
        <w:rPr>
          <w:sz w:val="22"/>
          <w:szCs w:val="22"/>
        </w:rPr>
        <w:t xml:space="preserve">Zum historischen Hintergrund: Sertorius in der </w:t>
      </w:r>
      <w:hyperlink r:id="rId7" w:anchor="sertorius" w:history="1">
        <w:r>
          <w:rPr>
            <w:rStyle w:val="Internetverknpfung"/>
            <w:sz w:val="22"/>
            <w:szCs w:val="22"/>
          </w:rPr>
          <w:t>Tabelle zu</w:t>
        </w:r>
        <w:r>
          <w:rPr>
            <w:rStyle w:val="Internetverknpfung"/>
            <w:sz w:val="22"/>
            <w:szCs w:val="22"/>
          </w:rPr>
          <w:t>r röm</w:t>
        </w:r>
        <w:r>
          <w:rPr>
            <w:rStyle w:val="Internetverknpfung"/>
            <w:sz w:val="22"/>
            <w:szCs w:val="22"/>
          </w:rPr>
          <w:t>i</w:t>
        </w:r>
        <w:r>
          <w:rPr>
            <w:rStyle w:val="Internetverknpfung"/>
            <w:sz w:val="22"/>
            <w:szCs w:val="22"/>
          </w:rPr>
          <w:t>schen Geschichte</w:t>
        </w:r>
      </w:hyperlink>
    </w:p>
    <w:p w14:paraId="0D4AD0C7" w14:textId="77777777" w:rsidR="0005206B" w:rsidRDefault="001C7B3F">
      <w:pPr>
        <w:pStyle w:val="berschrift1"/>
        <w:spacing w:after="240"/>
      </w:pPr>
      <w:r>
        <w:t>Text mit Vokabelangaben</w:t>
      </w:r>
    </w:p>
    <w:tbl>
      <w:tblPr>
        <w:tblW w:w="9862" w:type="dxa"/>
        <w:tblLayout w:type="fixed"/>
        <w:tblCellMar>
          <w:top w:w="113" w:type="dxa"/>
          <w:bottom w:w="113" w:type="dxa"/>
        </w:tblCellMar>
        <w:tblLook w:val="0000" w:firstRow="0" w:lastRow="0" w:firstColumn="0" w:lastColumn="0" w:noHBand="0" w:noVBand="0"/>
      </w:tblPr>
      <w:tblGrid>
        <w:gridCol w:w="5673"/>
        <w:gridCol w:w="4189"/>
      </w:tblGrid>
      <w:tr w:rsidR="0005206B" w14:paraId="18C42BF0" w14:textId="77777777">
        <w:trPr>
          <w:cantSplit/>
          <w:trHeight w:val="2640"/>
        </w:trPr>
        <w:tc>
          <w:tcPr>
            <w:tcW w:w="5673" w:type="dxa"/>
            <w:tcBorders>
              <w:top w:val="single" w:sz="4" w:space="0" w:color="000000"/>
              <w:left w:val="single" w:sz="4" w:space="0" w:color="000000"/>
              <w:bottom w:val="single" w:sz="4" w:space="0" w:color="000000"/>
            </w:tcBorders>
          </w:tcPr>
          <w:p w14:paraId="0A382AE7" w14:textId="77777777" w:rsidR="0005206B" w:rsidRDefault="001C7B3F">
            <w:pPr>
              <w:widowControl w:val="0"/>
              <w:spacing w:line="336" w:lineRule="auto"/>
              <w:rPr>
                <w:rFonts w:ascii="Arial" w:hAnsi="Arial" w:cs="Arial"/>
                <w:lang w:val="la"/>
              </w:rPr>
            </w:pPr>
            <w:r>
              <w:rPr>
                <w:rFonts w:ascii="Arial" w:hAnsi="Arial" w:cs="Arial"/>
                <w:lang w:val="la"/>
              </w:rPr>
              <w:t>I.</w:t>
            </w:r>
          </w:p>
          <w:p w14:paraId="27D293C5" w14:textId="77777777" w:rsidR="0005206B" w:rsidRDefault="001C7B3F">
            <w:pPr>
              <w:widowControl w:val="0"/>
              <w:spacing w:line="336" w:lineRule="auto"/>
              <w:rPr>
                <w:rFonts w:ascii="Arial" w:hAnsi="Arial" w:cs="Arial"/>
                <w:lang w:val="la"/>
              </w:rPr>
            </w:pPr>
            <w:r>
              <w:rPr>
                <w:rFonts w:ascii="Arial" w:hAnsi="Arial" w:cs="Arial"/>
                <w:lang w:val="la"/>
              </w:rPr>
              <w:t>Sertorius, vir acer egregiusque dux, imperator peritus fuit.</w:t>
            </w:r>
          </w:p>
          <w:p w14:paraId="547BBAB7" w14:textId="77777777" w:rsidR="0005206B" w:rsidRDefault="001C7B3F">
            <w:pPr>
              <w:widowControl w:val="0"/>
              <w:spacing w:line="336" w:lineRule="auto"/>
              <w:rPr>
                <w:rFonts w:ascii="Arial" w:hAnsi="Arial" w:cs="Arial"/>
              </w:rPr>
            </w:pPr>
            <w:r>
              <w:rPr>
                <w:rFonts w:ascii="Arial" w:hAnsi="Arial" w:cs="Arial"/>
                <w:lang w:val="la"/>
              </w:rPr>
              <w:t>Is in temporibus difficillimis et militibus mendacia dicebat, si haec ei prode</w:t>
            </w:r>
            <w:proofErr w:type="spellStart"/>
            <w:r>
              <w:rPr>
                <w:rFonts w:ascii="Arial" w:hAnsi="Arial" w:cs="Arial"/>
                <w:lang w:val="en-GB"/>
              </w:rPr>
              <w:t>ra</w:t>
            </w:r>
            <w:proofErr w:type="spellEnd"/>
            <w:r>
              <w:rPr>
                <w:rFonts w:ascii="Arial" w:hAnsi="Arial" w:cs="Arial"/>
                <w:lang w:val="la"/>
              </w:rPr>
              <w:t>nt, et litteras compositas pro veris legebat et somnium simula</w:t>
            </w:r>
            <w:r>
              <w:rPr>
                <w:rFonts w:ascii="Arial" w:hAnsi="Arial" w:cs="Arial"/>
                <w:lang w:val="la"/>
              </w:rPr>
              <w:t xml:space="preserve">bat et falsas religiones conferebat, si quid istae res eum apud milites adiuvabant. </w:t>
            </w:r>
          </w:p>
        </w:tc>
        <w:tc>
          <w:tcPr>
            <w:tcW w:w="4189" w:type="dxa"/>
            <w:tcBorders>
              <w:top w:val="single" w:sz="4" w:space="0" w:color="000000"/>
              <w:left w:val="single" w:sz="4" w:space="0" w:color="000000"/>
              <w:bottom w:val="single" w:sz="4" w:space="0" w:color="000000"/>
              <w:right w:val="single" w:sz="4" w:space="0" w:color="000000"/>
            </w:tcBorders>
          </w:tcPr>
          <w:p w14:paraId="29B6E9A1" w14:textId="77777777" w:rsidR="0005206B" w:rsidRDefault="001C7B3F">
            <w:pPr>
              <w:pStyle w:val="Vokabelangabe-lbs"/>
              <w:widowControl w:val="0"/>
              <w:ind w:left="0" w:firstLine="0"/>
            </w:pPr>
            <w:proofErr w:type="spellStart"/>
            <w:r>
              <w:t>ēgregius</w:t>
            </w:r>
            <w:proofErr w:type="spellEnd"/>
            <w:r>
              <w:t>: vorzüglich</w:t>
            </w:r>
          </w:p>
          <w:p w14:paraId="692D9596" w14:textId="77777777" w:rsidR="0005206B" w:rsidRDefault="001C7B3F">
            <w:pPr>
              <w:pStyle w:val="Vokabelangabe-lbs"/>
              <w:widowControl w:val="0"/>
              <w:rPr>
                <w:szCs w:val="20"/>
              </w:rPr>
            </w:pPr>
            <w:proofErr w:type="spellStart"/>
            <w:r>
              <w:rPr>
                <w:szCs w:val="20"/>
              </w:rPr>
              <w:t>mendācium</w:t>
            </w:r>
            <w:proofErr w:type="spellEnd"/>
            <w:r>
              <w:rPr>
                <w:szCs w:val="20"/>
              </w:rPr>
              <w:t xml:space="preserve">, </w:t>
            </w:r>
            <w:proofErr w:type="spellStart"/>
            <w:r>
              <w:rPr>
                <w:szCs w:val="20"/>
              </w:rPr>
              <w:t>mendaciī</w:t>
            </w:r>
            <w:proofErr w:type="spellEnd"/>
            <w:r>
              <w:rPr>
                <w:szCs w:val="20"/>
              </w:rPr>
              <w:t>, n.: die Lüge</w:t>
            </w:r>
          </w:p>
          <w:p w14:paraId="14D07C01" w14:textId="77777777" w:rsidR="0005206B" w:rsidRDefault="001C7B3F">
            <w:pPr>
              <w:pStyle w:val="Vokabelangabe-lbs"/>
              <w:widowControl w:val="0"/>
              <w:rPr>
                <w:szCs w:val="20"/>
              </w:rPr>
            </w:pPr>
            <w:proofErr w:type="spellStart"/>
            <w:r>
              <w:rPr>
                <w:szCs w:val="20"/>
              </w:rPr>
              <w:t>litterae</w:t>
            </w:r>
            <w:proofErr w:type="spellEnd"/>
            <w:r>
              <w:rPr>
                <w:szCs w:val="20"/>
              </w:rPr>
              <w:t xml:space="preserve"> </w:t>
            </w:r>
            <w:proofErr w:type="spellStart"/>
            <w:r>
              <w:rPr>
                <w:szCs w:val="20"/>
              </w:rPr>
              <w:t>compōsitae</w:t>
            </w:r>
            <w:proofErr w:type="spellEnd"/>
            <w:r>
              <w:rPr>
                <w:szCs w:val="20"/>
              </w:rPr>
              <w:t>: erfundene Briefe</w:t>
            </w:r>
          </w:p>
          <w:p w14:paraId="1D31E40B" w14:textId="77777777" w:rsidR="0005206B" w:rsidRDefault="001C7B3F">
            <w:pPr>
              <w:pStyle w:val="Vokabelangabe-lbs"/>
              <w:widowControl w:val="0"/>
            </w:pPr>
            <w:proofErr w:type="spellStart"/>
            <w:r>
              <w:rPr>
                <w:szCs w:val="20"/>
              </w:rPr>
              <w:t>somnium</w:t>
            </w:r>
            <w:proofErr w:type="spellEnd"/>
            <w:r>
              <w:rPr>
                <w:szCs w:val="20"/>
              </w:rPr>
              <w:t xml:space="preserve">: der Traum. </w:t>
            </w:r>
            <w:r>
              <w:rPr>
                <w:i/>
                <w:iCs/>
                <w:szCs w:val="20"/>
              </w:rPr>
              <w:t>Träume galten in der Antike als Prophezeiungen.</w:t>
            </w:r>
          </w:p>
          <w:p w14:paraId="1E063DE2" w14:textId="77777777" w:rsidR="0005206B" w:rsidRDefault="001C7B3F">
            <w:pPr>
              <w:pStyle w:val="Vokabelangabe-lbs"/>
              <w:widowControl w:val="0"/>
              <w:rPr>
                <w:szCs w:val="20"/>
              </w:rPr>
            </w:pPr>
            <w:proofErr w:type="spellStart"/>
            <w:r>
              <w:rPr>
                <w:szCs w:val="20"/>
              </w:rPr>
              <w:t>falsae</w:t>
            </w:r>
            <w:proofErr w:type="spellEnd"/>
            <w:r>
              <w:rPr>
                <w:szCs w:val="20"/>
              </w:rPr>
              <w:t xml:space="preserve"> </w:t>
            </w:r>
            <w:proofErr w:type="spellStart"/>
            <w:r>
              <w:rPr>
                <w:szCs w:val="20"/>
              </w:rPr>
              <w:t>rel</w:t>
            </w:r>
            <w:r>
              <w:rPr>
                <w:szCs w:val="20"/>
              </w:rPr>
              <w:t>igiones</w:t>
            </w:r>
            <w:proofErr w:type="spellEnd"/>
            <w:r>
              <w:rPr>
                <w:szCs w:val="20"/>
              </w:rPr>
              <w:t>: falsche religiöse Behauptungen</w:t>
            </w:r>
          </w:p>
          <w:p w14:paraId="7080D04E" w14:textId="77777777" w:rsidR="0005206B" w:rsidRDefault="001C7B3F">
            <w:pPr>
              <w:pStyle w:val="Vokabelangabe-lbs"/>
              <w:widowControl w:val="0"/>
              <w:rPr>
                <w:szCs w:val="20"/>
              </w:rPr>
            </w:pPr>
            <w:proofErr w:type="spellStart"/>
            <w:r>
              <w:rPr>
                <w:szCs w:val="20"/>
              </w:rPr>
              <w:t>cōnferre</w:t>
            </w:r>
            <w:proofErr w:type="spellEnd"/>
            <w:r>
              <w:rPr>
                <w:szCs w:val="20"/>
              </w:rPr>
              <w:t xml:space="preserve">, </w:t>
            </w:r>
            <w:proofErr w:type="spellStart"/>
            <w:r>
              <w:rPr>
                <w:szCs w:val="20"/>
              </w:rPr>
              <w:t>cōnferō</w:t>
            </w:r>
            <w:proofErr w:type="spellEnd"/>
            <w:r>
              <w:rPr>
                <w:szCs w:val="20"/>
              </w:rPr>
              <w:t xml:space="preserve">, </w:t>
            </w:r>
            <w:proofErr w:type="spellStart"/>
            <w:r>
              <w:rPr>
                <w:szCs w:val="20"/>
              </w:rPr>
              <w:t>contūlī</w:t>
            </w:r>
            <w:proofErr w:type="spellEnd"/>
            <w:r>
              <w:rPr>
                <w:szCs w:val="20"/>
              </w:rPr>
              <w:t xml:space="preserve">, </w:t>
            </w:r>
            <w:proofErr w:type="spellStart"/>
            <w:r>
              <w:rPr>
                <w:szCs w:val="20"/>
              </w:rPr>
              <w:t>collātum</w:t>
            </w:r>
            <w:proofErr w:type="spellEnd"/>
            <w:r>
              <w:rPr>
                <w:szCs w:val="20"/>
              </w:rPr>
              <w:t>: zusammentragen, erfinden</w:t>
            </w:r>
          </w:p>
        </w:tc>
      </w:tr>
      <w:tr w:rsidR="0005206B" w14:paraId="00615AB5" w14:textId="77777777">
        <w:trPr>
          <w:cantSplit/>
          <w:trHeight w:val="1380"/>
        </w:trPr>
        <w:tc>
          <w:tcPr>
            <w:tcW w:w="5673" w:type="dxa"/>
            <w:tcBorders>
              <w:left w:val="single" w:sz="4" w:space="0" w:color="000000"/>
              <w:bottom w:val="single" w:sz="4" w:space="0" w:color="000000"/>
            </w:tcBorders>
          </w:tcPr>
          <w:p w14:paraId="38D6435F" w14:textId="77777777" w:rsidR="0005206B" w:rsidRDefault="001C7B3F">
            <w:pPr>
              <w:widowControl w:val="0"/>
              <w:spacing w:line="336" w:lineRule="auto"/>
              <w:rPr>
                <w:rFonts w:ascii="Arial" w:hAnsi="Arial" w:cs="Arial"/>
                <w:lang w:val="la"/>
              </w:rPr>
            </w:pPr>
            <w:r>
              <w:rPr>
                <w:rFonts w:ascii="Arial" w:hAnsi="Arial" w:cs="Arial"/>
                <w:lang w:val="la"/>
              </w:rPr>
              <w:t>II.</w:t>
            </w:r>
          </w:p>
          <w:p w14:paraId="0EE35B4C" w14:textId="77777777" w:rsidR="0005206B" w:rsidRDefault="001C7B3F">
            <w:pPr>
              <w:widowControl w:val="0"/>
              <w:spacing w:line="336" w:lineRule="auto"/>
              <w:rPr>
                <w:rFonts w:ascii="Arial" w:hAnsi="Arial" w:cs="Arial"/>
                <w:lang w:val="la"/>
              </w:rPr>
            </w:pPr>
            <w:r>
              <w:rPr>
                <w:rFonts w:ascii="Arial" w:hAnsi="Arial" w:cs="Arial"/>
                <w:lang w:val="la"/>
              </w:rPr>
              <w:t>Postquam in Mauretaniam fugit, Lusitani eum rogabant, ut sibi adesset.</w:t>
            </w:r>
          </w:p>
          <w:p w14:paraId="43322689" w14:textId="77777777" w:rsidR="0005206B" w:rsidRDefault="001C7B3F">
            <w:pPr>
              <w:widowControl w:val="0"/>
              <w:spacing w:line="336" w:lineRule="auto"/>
              <w:rPr>
                <w:rFonts w:ascii="Arial" w:hAnsi="Arial" w:cs="Arial"/>
                <w:lang w:val="la"/>
              </w:rPr>
            </w:pPr>
            <w:r>
              <w:rPr>
                <w:rFonts w:ascii="Arial" w:hAnsi="Arial" w:cs="Arial"/>
                <w:lang w:val="la"/>
              </w:rPr>
              <w:t>Itaque in Hispania regnum novum condidit.</w:t>
            </w:r>
          </w:p>
        </w:tc>
        <w:tc>
          <w:tcPr>
            <w:tcW w:w="4189" w:type="dxa"/>
            <w:tcBorders>
              <w:left w:val="single" w:sz="4" w:space="0" w:color="000000"/>
              <w:bottom w:val="single" w:sz="4" w:space="0" w:color="000000"/>
              <w:right w:val="single" w:sz="4" w:space="0" w:color="000000"/>
            </w:tcBorders>
          </w:tcPr>
          <w:p w14:paraId="75FD2AE3" w14:textId="77777777" w:rsidR="0005206B" w:rsidRDefault="0005206B">
            <w:pPr>
              <w:widowControl w:val="0"/>
              <w:ind w:left="341" w:hanging="284"/>
              <w:rPr>
                <w:sz w:val="20"/>
              </w:rPr>
            </w:pPr>
          </w:p>
          <w:p w14:paraId="0C632D7F" w14:textId="77777777" w:rsidR="0005206B" w:rsidRDefault="001C7B3F">
            <w:pPr>
              <w:widowControl w:val="0"/>
              <w:ind w:left="341" w:hanging="284"/>
              <w:rPr>
                <w:sz w:val="20"/>
              </w:rPr>
            </w:pPr>
            <w:proofErr w:type="spellStart"/>
            <w:r>
              <w:rPr>
                <w:sz w:val="20"/>
              </w:rPr>
              <w:t>Mauretānia</w:t>
            </w:r>
            <w:proofErr w:type="spellEnd"/>
            <w:r>
              <w:rPr>
                <w:sz w:val="20"/>
              </w:rPr>
              <w:t xml:space="preserve">: Nordafrika. </w:t>
            </w:r>
            <w:r>
              <w:rPr>
                <w:i/>
                <w:iCs/>
                <w:sz w:val="20"/>
              </w:rPr>
              <w:t>Siehe die Einleitung.</w:t>
            </w:r>
          </w:p>
          <w:p w14:paraId="53D50B52" w14:textId="77777777" w:rsidR="0005206B" w:rsidRDefault="001C7B3F">
            <w:pPr>
              <w:widowControl w:val="0"/>
              <w:ind w:left="341" w:hanging="284"/>
              <w:rPr>
                <w:sz w:val="20"/>
              </w:rPr>
            </w:pPr>
            <w:proofErr w:type="spellStart"/>
            <w:r>
              <w:rPr>
                <w:sz w:val="20"/>
              </w:rPr>
              <w:t>Lūsitānus</w:t>
            </w:r>
            <w:proofErr w:type="spellEnd"/>
            <w:r>
              <w:rPr>
                <w:sz w:val="20"/>
              </w:rPr>
              <w:t xml:space="preserve">: der </w:t>
            </w:r>
            <w:proofErr w:type="spellStart"/>
            <w:r>
              <w:rPr>
                <w:sz w:val="20"/>
              </w:rPr>
              <w:t>Lusitanier</w:t>
            </w:r>
            <w:proofErr w:type="spellEnd"/>
            <w:r>
              <w:rPr>
                <w:sz w:val="20"/>
              </w:rPr>
              <w:t xml:space="preserve"> </w:t>
            </w:r>
            <w:r>
              <w:rPr>
                <w:i/>
                <w:iCs/>
                <w:sz w:val="20"/>
              </w:rPr>
              <w:t>(Bewohner des heutigen Portugal)</w:t>
            </w:r>
          </w:p>
          <w:p w14:paraId="2F202CBF" w14:textId="77777777" w:rsidR="0005206B" w:rsidRDefault="0005206B">
            <w:pPr>
              <w:widowControl w:val="0"/>
              <w:ind w:left="341" w:hanging="284"/>
              <w:rPr>
                <w:sz w:val="20"/>
                <w:lang w:val="la"/>
              </w:rPr>
            </w:pPr>
          </w:p>
        </w:tc>
      </w:tr>
      <w:tr w:rsidR="0005206B" w14:paraId="2B8DD99B" w14:textId="77777777">
        <w:trPr>
          <w:cantSplit/>
        </w:trPr>
        <w:tc>
          <w:tcPr>
            <w:tcW w:w="5673" w:type="dxa"/>
            <w:tcBorders>
              <w:left w:val="single" w:sz="4" w:space="0" w:color="000000"/>
              <w:bottom w:val="single" w:sz="4" w:space="0" w:color="000000"/>
            </w:tcBorders>
          </w:tcPr>
          <w:p w14:paraId="31E17186" w14:textId="77777777" w:rsidR="0005206B" w:rsidRDefault="001C7B3F">
            <w:pPr>
              <w:widowControl w:val="0"/>
              <w:spacing w:line="336" w:lineRule="auto"/>
              <w:rPr>
                <w:rFonts w:ascii="Arial" w:hAnsi="Arial" w:cs="Arial"/>
                <w:lang w:val="la"/>
              </w:rPr>
            </w:pPr>
            <w:r>
              <w:rPr>
                <w:rFonts w:ascii="Arial" w:hAnsi="Arial" w:cs="Arial"/>
                <w:lang w:val="la"/>
              </w:rPr>
              <w:lastRenderedPageBreak/>
              <w:t>Illud adeo Sertorii nobile est:</w:t>
            </w:r>
          </w:p>
          <w:p w14:paraId="30CCFC1F" w14:textId="77777777" w:rsidR="0005206B" w:rsidRDefault="001C7B3F">
            <w:pPr>
              <w:widowControl w:val="0"/>
              <w:spacing w:line="336" w:lineRule="auto"/>
              <w:rPr>
                <w:rFonts w:ascii="Arial" w:hAnsi="Arial" w:cs="Arial"/>
              </w:rPr>
            </w:pPr>
            <w:r>
              <w:rPr>
                <w:rFonts w:ascii="Arial" w:hAnsi="Arial" w:cs="Arial"/>
                <w:lang w:val="la"/>
              </w:rPr>
              <w:t>Cer</w:t>
            </w:r>
            <w:r>
              <w:rPr>
                <w:rFonts w:ascii="Arial" w:hAnsi="Arial" w:cs="Arial"/>
                <w:lang w:val="it-IT"/>
              </w:rPr>
              <w:t>v</w:t>
            </w:r>
            <w:r>
              <w:rPr>
                <w:rFonts w:ascii="Arial" w:hAnsi="Arial" w:cs="Arial"/>
                <w:lang w:val="la"/>
              </w:rPr>
              <w:t xml:space="preserve">a alba eximiae pulchritudinis et vivacissimae celeritatis a Lusitano quodam ei dono data est. </w:t>
            </w:r>
          </w:p>
        </w:tc>
        <w:tc>
          <w:tcPr>
            <w:tcW w:w="4189" w:type="dxa"/>
            <w:tcBorders>
              <w:left w:val="single" w:sz="4" w:space="0" w:color="000000"/>
              <w:bottom w:val="single" w:sz="4" w:space="0" w:color="000000"/>
              <w:right w:val="single" w:sz="4" w:space="0" w:color="000000"/>
            </w:tcBorders>
          </w:tcPr>
          <w:p w14:paraId="42F0FC57" w14:textId="77777777" w:rsidR="0005206B" w:rsidRDefault="001C7B3F">
            <w:pPr>
              <w:widowControl w:val="0"/>
              <w:ind w:left="341" w:hanging="284"/>
              <w:rPr>
                <w:sz w:val="20"/>
              </w:rPr>
            </w:pPr>
            <w:proofErr w:type="spellStart"/>
            <w:r>
              <w:rPr>
                <w:sz w:val="20"/>
              </w:rPr>
              <w:t>illud</w:t>
            </w:r>
            <w:proofErr w:type="spellEnd"/>
            <w:r>
              <w:rPr>
                <w:sz w:val="20"/>
              </w:rPr>
              <w:t>: diese Anekdote</w:t>
            </w:r>
          </w:p>
          <w:p w14:paraId="320D6F98" w14:textId="77777777" w:rsidR="0005206B" w:rsidRDefault="001C7B3F">
            <w:pPr>
              <w:widowControl w:val="0"/>
              <w:ind w:left="341" w:hanging="284"/>
              <w:rPr>
                <w:sz w:val="20"/>
              </w:rPr>
            </w:pPr>
            <w:proofErr w:type="spellStart"/>
            <w:r>
              <w:rPr>
                <w:sz w:val="20"/>
              </w:rPr>
              <w:t>adeō</w:t>
            </w:r>
            <w:proofErr w:type="spellEnd"/>
            <w:r>
              <w:rPr>
                <w:sz w:val="20"/>
              </w:rPr>
              <w:t xml:space="preserve"> </w:t>
            </w:r>
            <w:r>
              <w:rPr>
                <w:i/>
                <w:iCs/>
                <w:sz w:val="20"/>
              </w:rPr>
              <w:t>(Adverb)</w:t>
            </w:r>
            <w:r>
              <w:rPr>
                <w:sz w:val="20"/>
              </w:rPr>
              <w:t>: besonders</w:t>
            </w:r>
          </w:p>
          <w:p w14:paraId="487EF9D4" w14:textId="77777777" w:rsidR="0005206B" w:rsidRDefault="001C7B3F">
            <w:pPr>
              <w:widowControl w:val="0"/>
              <w:ind w:left="341" w:hanging="284"/>
              <w:jc w:val="both"/>
              <w:rPr>
                <w:sz w:val="20"/>
              </w:rPr>
            </w:pPr>
            <w:proofErr w:type="spellStart"/>
            <w:r>
              <w:rPr>
                <w:sz w:val="20"/>
              </w:rPr>
              <w:t>nōbilis</w:t>
            </w:r>
            <w:proofErr w:type="spellEnd"/>
            <w:r>
              <w:rPr>
                <w:sz w:val="20"/>
              </w:rPr>
              <w:t xml:space="preserve">, </w:t>
            </w:r>
            <w:proofErr w:type="spellStart"/>
            <w:r>
              <w:rPr>
                <w:sz w:val="20"/>
              </w:rPr>
              <w:t>nōbile</w:t>
            </w:r>
            <w:proofErr w:type="spellEnd"/>
            <w:r>
              <w:rPr>
                <w:sz w:val="20"/>
              </w:rPr>
              <w:t>: bekannt, berühmt</w:t>
            </w:r>
          </w:p>
          <w:p w14:paraId="4A430B2A" w14:textId="77777777" w:rsidR="0005206B" w:rsidRDefault="001C7B3F">
            <w:pPr>
              <w:widowControl w:val="0"/>
              <w:ind w:left="341" w:hanging="284"/>
              <w:rPr>
                <w:sz w:val="20"/>
              </w:rPr>
            </w:pPr>
            <w:proofErr w:type="spellStart"/>
            <w:r>
              <w:rPr>
                <w:sz w:val="20"/>
              </w:rPr>
              <w:t>cerva</w:t>
            </w:r>
            <w:proofErr w:type="spellEnd"/>
            <w:r>
              <w:rPr>
                <w:sz w:val="20"/>
              </w:rPr>
              <w:t xml:space="preserve"> </w:t>
            </w:r>
            <w:proofErr w:type="spellStart"/>
            <w:r>
              <w:rPr>
                <w:sz w:val="20"/>
              </w:rPr>
              <w:t>alba</w:t>
            </w:r>
            <w:proofErr w:type="spellEnd"/>
            <w:r>
              <w:rPr>
                <w:sz w:val="20"/>
              </w:rPr>
              <w:t>: die weiße Hirschkuh</w:t>
            </w:r>
          </w:p>
          <w:p w14:paraId="0910193C" w14:textId="77777777" w:rsidR="0005206B" w:rsidRDefault="001C7B3F">
            <w:pPr>
              <w:widowControl w:val="0"/>
              <w:ind w:left="341" w:hanging="284"/>
              <w:rPr>
                <w:sz w:val="20"/>
              </w:rPr>
            </w:pPr>
            <w:proofErr w:type="spellStart"/>
            <w:r>
              <w:rPr>
                <w:sz w:val="20"/>
              </w:rPr>
              <w:t>eximius</w:t>
            </w:r>
            <w:proofErr w:type="spellEnd"/>
            <w:r>
              <w:rPr>
                <w:sz w:val="20"/>
              </w:rPr>
              <w:t>: außerordentlich</w:t>
            </w:r>
          </w:p>
          <w:p w14:paraId="49A4D781" w14:textId="77777777" w:rsidR="0005206B" w:rsidRDefault="001C7B3F">
            <w:pPr>
              <w:widowControl w:val="0"/>
              <w:ind w:left="341" w:hanging="284"/>
              <w:rPr>
                <w:sz w:val="20"/>
              </w:rPr>
            </w:pPr>
            <w:proofErr w:type="spellStart"/>
            <w:r>
              <w:rPr>
                <w:sz w:val="20"/>
              </w:rPr>
              <w:t>vīvāx</w:t>
            </w:r>
            <w:proofErr w:type="spellEnd"/>
            <w:r>
              <w:rPr>
                <w:sz w:val="20"/>
              </w:rPr>
              <w:t xml:space="preserve">, </w:t>
            </w:r>
            <w:proofErr w:type="spellStart"/>
            <w:r>
              <w:rPr>
                <w:sz w:val="20"/>
              </w:rPr>
              <w:t>vīvācis</w:t>
            </w:r>
            <w:proofErr w:type="spellEnd"/>
            <w:r>
              <w:rPr>
                <w:sz w:val="20"/>
              </w:rPr>
              <w:t>: lebendi</w:t>
            </w:r>
            <w:r>
              <w:rPr>
                <w:sz w:val="20"/>
              </w:rPr>
              <w:t>g</w:t>
            </w:r>
          </w:p>
          <w:p w14:paraId="53EC5F5B" w14:textId="77777777" w:rsidR="0005206B" w:rsidRDefault="001C7B3F">
            <w:pPr>
              <w:widowControl w:val="0"/>
              <w:ind w:left="341" w:hanging="284"/>
              <w:rPr>
                <w:sz w:val="20"/>
              </w:rPr>
            </w:pPr>
            <w:proofErr w:type="spellStart"/>
            <w:r>
              <w:rPr>
                <w:sz w:val="20"/>
              </w:rPr>
              <w:t>celeritās</w:t>
            </w:r>
            <w:proofErr w:type="spellEnd"/>
            <w:r>
              <w:rPr>
                <w:sz w:val="20"/>
              </w:rPr>
              <w:t xml:space="preserve">, </w:t>
            </w:r>
            <w:proofErr w:type="spellStart"/>
            <w:r>
              <w:rPr>
                <w:sz w:val="20"/>
              </w:rPr>
              <w:t>celeritātis</w:t>
            </w:r>
            <w:proofErr w:type="spellEnd"/>
            <w:r>
              <w:rPr>
                <w:sz w:val="20"/>
              </w:rPr>
              <w:t>, f.: die Schnelligkeit</w:t>
            </w:r>
          </w:p>
          <w:p w14:paraId="2E130AB0" w14:textId="77777777" w:rsidR="0005206B" w:rsidRDefault="001C7B3F">
            <w:pPr>
              <w:widowControl w:val="0"/>
              <w:ind w:left="341" w:hanging="284"/>
              <w:rPr>
                <w:sz w:val="20"/>
              </w:rPr>
            </w:pPr>
            <w:proofErr w:type="spellStart"/>
            <w:r>
              <w:rPr>
                <w:sz w:val="20"/>
              </w:rPr>
              <w:t>dōnō</w:t>
            </w:r>
            <w:proofErr w:type="spellEnd"/>
            <w:r>
              <w:rPr>
                <w:sz w:val="20"/>
              </w:rPr>
              <w:t xml:space="preserve"> </w:t>
            </w:r>
            <w:proofErr w:type="spellStart"/>
            <w:r>
              <w:rPr>
                <w:sz w:val="20"/>
              </w:rPr>
              <w:t>dare</w:t>
            </w:r>
            <w:proofErr w:type="spellEnd"/>
            <w:r>
              <w:rPr>
                <w:sz w:val="20"/>
              </w:rPr>
              <w:t>: als Geschenk geben</w:t>
            </w:r>
          </w:p>
        </w:tc>
      </w:tr>
      <w:tr w:rsidR="0005206B" w14:paraId="31EF2673" w14:textId="77777777">
        <w:trPr>
          <w:cantSplit/>
        </w:trPr>
        <w:tc>
          <w:tcPr>
            <w:tcW w:w="5673" w:type="dxa"/>
            <w:tcBorders>
              <w:left w:val="single" w:sz="4" w:space="0" w:color="000000"/>
              <w:bottom w:val="single" w:sz="4" w:space="0" w:color="000000"/>
            </w:tcBorders>
          </w:tcPr>
          <w:p w14:paraId="7BE1D6B6" w14:textId="77777777" w:rsidR="0005206B" w:rsidRDefault="001C7B3F">
            <w:pPr>
              <w:widowControl w:val="0"/>
              <w:spacing w:line="336" w:lineRule="auto"/>
              <w:rPr>
                <w:rFonts w:ascii="Arial" w:hAnsi="Arial" w:cs="Arial"/>
                <w:lang w:val="la"/>
              </w:rPr>
            </w:pPr>
            <w:r>
              <w:rPr>
                <w:rFonts w:ascii="Arial" w:hAnsi="Arial" w:cs="Arial"/>
                <w:lang w:val="la"/>
              </w:rPr>
              <w:t>III.</w:t>
            </w:r>
          </w:p>
          <w:p w14:paraId="21F7084B" w14:textId="77777777" w:rsidR="0005206B" w:rsidRDefault="001C7B3F">
            <w:pPr>
              <w:widowControl w:val="0"/>
              <w:spacing w:line="336" w:lineRule="auto"/>
              <w:rPr>
                <w:rFonts w:ascii="Arial" w:hAnsi="Arial" w:cs="Arial"/>
                <w:lang w:val="la"/>
              </w:rPr>
            </w:pPr>
            <w:r>
              <w:rPr>
                <w:rFonts w:ascii="Arial" w:hAnsi="Arial" w:cs="Arial"/>
                <w:lang w:val="la"/>
              </w:rPr>
              <w:t>Hanc sibi datam a deis et iussu Dianae colloquia secum habere monereque et docere,</w:t>
            </w:r>
          </w:p>
          <w:p w14:paraId="1D05E89C" w14:textId="77777777" w:rsidR="0005206B" w:rsidRDefault="001C7B3F">
            <w:pPr>
              <w:widowControl w:val="0"/>
              <w:spacing w:line="336" w:lineRule="auto"/>
              <w:ind w:left="708"/>
              <w:rPr>
                <w:rFonts w:ascii="Arial" w:hAnsi="Arial" w:cs="Arial"/>
                <w:lang w:val="la"/>
              </w:rPr>
            </w:pPr>
            <w:r>
              <w:rPr>
                <w:rFonts w:ascii="Arial" w:hAnsi="Arial" w:cs="Arial"/>
                <w:lang w:val="la"/>
              </w:rPr>
              <w:t>quae utilia factu essent,</w:t>
            </w:r>
          </w:p>
          <w:p w14:paraId="06B96777" w14:textId="77777777" w:rsidR="0005206B" w:rsidRDefault="001C7B3F">
            <w:pPr>
              <w:widowControl w:val="0"/>
              <w:spacing w:line="336" w:lineRule="auto"/>
              <w:rPr>
                <w:rFonts w:ascii="Arial" w:hAnsi="Arial" w:cs="Arial"/>
              </w:rPr>
            </w:pPr>
            <w:r>
              <w:rPr>
                <w:rFonts w:ascii="Arial" w:hAnsi="Arial" w:cs="Arial"/>
                <w:lang w:val="la"/>
              </w:rPr>
              <w:t>persua</w:t>
            </w:r>
            <w:r>
              <w:rPr>
                <w:rFonts w:ascii="Arial" w:hAnsi="Arial" w:cs="Arial"/>
                <w:lang w:val="en-US"/>
              </w:rPr>
              <w:t>sit</w:t>
            </w:r>
            <w:r>
              <w:rPr>
                <w:rFonts w:ascii="Arial" w:hAnsi="Arial" w:cs="Arial"/>
                <w:lang w:val="la"/>
              </w:rPr>
              <w:t xml:space="preserve"> omnibus</w:t>
            </w:r>
            <w:r>
              <w:rPr>
                <w:rFonts w:ascii="Arial" w:hAnsi="Arial" w:cs="Arial"/>
                <w:lang w:val="en-US"/>
              </w:rPr>
              <w:t>.</w:t>
            </w:r>
          </w:p>
        </w:tc>
        <w:tc>
          <w:tcPr>
            <w:tcW w:w="4189" w:type="dxa"/>
            <w:tcBorders>
              <w:left w:val="single" w:sz="4" w:space="0" w:color="000000"/>
              <w:bottom w:val="single" w:sz="4" w:space="0" w:color="000000"/>
              <w:right w:val="single" w:sz="4" w:space="0" w:color="000000"/>
            </w:tcBorders>
          </w:tcPr>
          <w:p w14:paraId="11C2FBF4" w14:textId="77777777" w:rsidR="0005206B" w:rsidRDefault="001C7B3F">
            <w:pPr>
              <w:widowControl w:val="0"/>
              <w:spacing w:before="57"/>
              <w:ind w:left="341" w:hanging="284"/>
              <w:rPr>
                <w:sz w:val="20"/>
              </w:rPr>
            </w:pPr>
            <w:r>
              <w:rPr>
                <w:i/>
                <w:iCs/>
                <w:sz w:val="20"/>
              </w:rPr>
              <w:t xml:space="preserve">Fange beim Übersetzen mit dem </w:t>
            </w:r>
            <w:r>
              <w:rPr>
                <w:i/>
                <w:iCs/>
                <w:sz w:val="20"/>
              </w:rPr>
              <w:t>Prädikat</w:t>
            </w:r>
            <w:r>
              <w:rPr>
                <w:sz w:val="20"/>
              </w:rPr>
              <w:t xml:space="preserve"> (</w:t>
            </w:r>
            <w:proofErr w:type="spellStart"/>
            <w:r>
              <w:rPr>
                <w:sz w:val="20"/>
              </w:rPr>
              <w:t>persuasit</w:t>
            </w:r>
            <w:proofErr w:type="spellEnd"/>
            <w:r>
              <w:rPr>
                <w:sz w:val="20"/>
              </w:rPr>
              <w:t xml:space="preserve">) </w:t>
            </w:r>
            <w:r>
              <w:rPr>
                <w:i/>
                <w:iCs/>
                <w:sz w:val="20"/>
              </w:rPr>
              <w:t xml:space="preserve">an, von dem ein </w:t>
            </w:r>
            <w:proofErr w:type="spellStart"/>
            <w:r>
              <w:rPr>
                <w:i/>
                <w:iCs/>
                <w:sz w:val="20"/>
              </w:rPr>
              <w:t>AcI</w:t>
            </w:r>
            <w:proofErr w:type="spellEnd"/>
            <w:r>
              <w:rPr>
                <w:i/>
                <w:iCs/>
                <w:sz w:val="20"/>
              </w:rPr>
              <w:t xml:space="preserve"> abhängt</w:t>
            </w:r>
            <w:r>
              <w:rPr>
                <w:sz w:val="20"/>
              </w:rPr>
              <w:t xml:space="preserve"> (er überzeugte sie davon, dass)</w:t>
            </w:r>
          </w:p>
          <w:p w14:paraId="00486A34" w14:textId="77777777" w:rsidR="0005206B" w:rsidRDefault="001C7B3F">
            <w:pPr>
              <w:pStyle w:val="Textkrper"/>
              <w:widowControl w:val="0"/>
              <w:spacing w:before="57" w:after="0" w:line="240" w:lineRule="auto"/>
              <w:ind w:left="341" w:hanging="284"/>
              <w:rPr>
                <w:sz w:val="20"/>
              </w:rPr>
            </w:pPr>
            <w:proofErr w:type="spellStart"/>
            <w:r>
              <w:rPr>
                <w:sz w:val="20"/>
              </w:rPr>
              <w:t>datam</w:t>
            </w:r>
            <w:proofErr w:type="spellEnd"/>
            <w:r>
              <w:rPr>
                <w:sz w:val="20"/>
              </w:rPr>
              <w:t xml:space="preserve">: </w:t>
            </w:r>
            <w:r>
              <w:rPr>
                <w:rStyle w:val="Betont"/>
                <w:sz w:val="20"/>
              </w:rPr>
              <w:t>Zur Vereinfachung kannst du so ergänzen</w:t>
            </w:r>
            <w:r>
              <w:rPr>
                <w:sz w:val="20"/>
              </w:rPr>
              <w:t xml:space="preserve">: </w:t>
            </w:r>
            <w:proofErr w:type="spellStart"/>
            <w:r>
              <w:rPr>
                <w:sz w:val="20"/>
              </w:rPr>
              <w:t>datam</w:t>
            </w:r>
            <w:proofErr w:type="spellEnd"/>
            <w:r>
              <w:rPr>
                <w:sz w:val="20"/>
              </w:rPr>
              <w:t xml:space="preserve"> esse et</w:t>
            </w:r>
          </w:p>
          <w:p w14:paraId="751F06F5" w14:textId="77777777" w:rsidR="0005206B" w:rsidRDefault="001C7B3F">
            <w:pPr>
              <w:widowControl w:val="0"/>
              <w:spacing w:before="57"/>
              <w:ind w:left="341" w:hanging="284"/>
              <w:rPr>
                <w:sz w:val="20"/>
                <w:lang w:val="la"/>
              </w:rPr>
            </w:pPr>
            <w:r>
              <w:rPr>
                <w:sz w:val="20"/>
                <w:lang w:val="la"/>
              </w:rPr>
              <w:t>iussū: auf Befehl</w:t>
            </w:r>
          </w:p>
          <w:p w14:paraId="425ADC71" w14:textId="77777777" w:rsidR="0005206B" w:rsidRDefault="001C7B3F">
            <w:pPr>
              <w:widowControl w:val="0"/>
              <w:spacing w:before="57"/>
              <w:ind w:left="341" w:hanging="284"/>
              <w:rPr>
                <w:sz w:val="20"/>
                <w:lang w:val="la"/>
              </w:rPr>
            </w:pPr>
            <w:r>
              <w:rPr>
                <w:sz w:val="20"/>
                <w:lang w:val="la"/>
              </w:rPr>
              <w:t>colloquia habēre: Gespräche führen</w:t>
            </w:r>
          </w:p>
          <w:p w14:paraId="32C7B172" w14:textId="77777777" w:rsidR="0005206B" w:rsidRDefault="001C7B3F">
            <w:pPr>
              <w:widowControl w:val="0"/>
              <w:tabs>
                <w:tab w:val="center" w:pos="1905"/>
              </w:tabs>
              <w:spacing w:before="57"/>
              <w:ind w:left="341" w:hanging="284"/>
              <w:rPr>
                <w:sz w:val="20"/>
                <w:lang w:val="la"/>
              </w:rPr>
            </w:pPr>
            <w:r>
              <w:rPr>
                <w:sz w:val="20"/>
                <w:lang w:val="la"/>
              </w:rPr>
              <w:t>factū: zu tun</w:t>
            </w:r>
          </w:p>
        </w:tc>
      </w:tr>
      <w:tr w:rsidR="0005206B" w14:paraId="1E534DA6" w14:textId="77777777">
        <w:trPr>
          <w:cantSplit/>
        </w:trPr>
        <w:tc>
          <w:tcPr>
            <w:tcW w:w="5673" w:type="dxa"/>
            <w:tcBorders>
              <w:left w:val="single" w:sz="4" w:space="0" w:color="000000"/>
              <w:bottom w:val="single" w:sz="4" w:space="0" w:color="000000"/>
            </w:tcBorders>
          </w:tcPr>
          <w:p w14:paraId="3EA2E0EB" w14:textId="77777777" w:rsidR="0005206B" w:rsidRDefault="001C7B3F">
            <w:pPr>
              <w:widowControl w:val="0"/>
              <w:spacing w:line="336" w:lineRule="auto"/>
              <w:rPr>
                <w:rFonts w:ascii="Arial" w:hAnsi="Arial" w:cs="Arial"/>
              </w:rPr>
            </w:pPr>
            <w:r>
              <w:rPr>
                <w:rFonts w:ascii="Arial" w:hAnsi="Arial" w:cs="Arial"/>
                <w:lang w:val="la"/>
              </w:rPr>
              <w:t xml:space="preserve">Cum a militibus res duras postulabat, a cerva se </w:t>
            </w:r>
            <w:r>
              <w:rPr>
                <w:rFonts w:ascii="Arial" w:hAnsi="Arial" w:cs="Arial"/>
                <w:lang w:val="en-US"/>
              </w:rPr>
              <w:t xml:space="preserve">has res </w:t>
            </w:r>
            <w:r>
              <w:rPr>
                <w:rFonts w:ascii="Arial" w:hAnsi="Arial" w:cs="Arial"/>
                <w:lang w:val="la"/>
              </w:rPr>
              <w:t>monitum esse</w:t>
            </w:r>
            <w:r>
              <w:rPr>
                <w:rFonts w:ascii="Arial" w:hAnsi="Arial" w:cs="Arial"/>
                <w:lang w:val="en-US"/>
              </w:rPr>
              <w:t xml:space="preserve"> </w:t>
            </w:r>
            <w:r>
              <w:rPr>
                <w:rFonts w:ascii="Arial" w:hAnsi="Arial" w:cs="Arial"/>
                <w:lang w:val="la"/>
              </w:rPr>
              <w:t>praedicabat.</w:t>
            </w:r>
          </w:p>
          <w:p w14:paraId="099B7ABB" w14:textId="77777777" w:rsidR="0005206B" w:rsidRDefault="001C7B3F">
            <w:pPr>
              <w:widowControl w:val="0"/>
              <w:spacing w:line="336" w:lineRule="auto"/>
              <w:rPr>
                <w:rFonts w:ascii="Arial" w:hAnsi="Arial" w:cs="Arial"/>
              </w:rPr>
            </w:pPr>
            <w:r>
              <w:rPr>
                <w:rFonts w:ascii="Arial" w:hAnsi="Arial" w:cs="Arial"/>
                <w:lang w:val="la"/>
              </w:rPr>
              <w:t xml:space="preserve">Id cum dixerat, </w:t>
            </w:r>
            <w:r>
              <w:rPr>
                <w:rFonts w:ascii="Arial" w:hAnsi="Arial" w:cs="Arial"/>
              </w:rPr>
              <w:t>omnes</w:t>
            </w:r>
            <w:r>
              <w:rPr>
                <w:rFonts w:ascii="Arial" w:hAnsi="Arial" w:cs="Arial"/>
                <w:lang w:val="la"/>
              </w:rPr>
              <w:t xml:space="preserve"> </w:t>
            </w:r>
            <w:r>
              <w:rPr>
                <w:rFonts w:ascii="Arial" w:hAnsi="Arial" w:cs="Arial"/>
              </w:rPr>
              <w:t xml:space="preserve">ei </w:t>
            </w:r>
            <w:r>
              <w:rPr>
                <w:rFonts w:ascii="Arial" w:hAnsi="Arial" w:cs="Arial"/>
                <w:lang w:val="la"/>
              </w:rPr>
              <w:t>tamquam si deo libenter parebant.</w:t>
            </w:r>
          </w:p>
        </w:tc>
        <w:tc>
          <w:tcPr>
            <w:tcW w:w="4189" w:type="dxa"/>
            <w:tcBorders>
              <w:left w:val="single" w:sz="4" w:space="0" w:color="000000"/>
              <w:bottom w:val="single" w:sz="4" w:space="0" w:color="000000"/>
              <w:right w:val="single" w:sz="4" w:space="0" w:color="000000"/>
            </w:tcBorders>
          </w:tcPr>
          <w:p w14:paraId="2CC005DE" w14:textId="77777777" w:rsidR="0005206B" w:rsidRDefault="001C7B3F">
            <w:pPr>
              <w:widowControl w:val="0"/>
              <w:ind w:left="341" w:hanging="284"/>
              <w:rPr>
                <w:sz w:val="20"/>
              </w:rPr>
            </w:pPr>
            <w:proofErr w:type="spellStart"/>
            <w:r>
              <w:rPr>
                <w:sz w:val="20"/>
              </w:rPr>
              <w:t>has</w:t>
            </w:r>
            <w:proofErr w:type="spellEnd"/>
            <w:r>
              <w:rPr>
                <w:sz w:val="20"/>
              </w:rPr>
              <w:t xml:space="preserve"> </w:t>
            </w:r>
            <w:proofErr w:type="spellStart"/>
            <w:r>
              <w:rPr>
                <w:sz w:val="20"/>
              </w:rPr>
              <w:t>res</w:t>
            </w:r>
            <w:proofErr w:type="spellEnd"/>
            <w:r>
              <w:rPr>
                <w:sz w:val="20"/>
              </w:rPr>
              <w:t xml:space="preserve">: zu diesen Dingen; </w:t>
            </w:r>
            <w:proofErr w:type="spellStart"/>
            <w:r>
              <w:rPr>
                <w:sz w:val="20"/>
              </w:rPr>
              <w:t>has</w:t>
            </w:r>
            <w:proofErr w:type="spellEnd"/>
            <w:r>
              <w:rPr>
                <w:sz w:val="20"/>
              </w:rPr>
              <w:t xml:space="preserve"> </w:t>
            </w:r>
            <w:proofErr w:type="spellStart"/>
            <w:r>
              <w:rPr>
                <w:sz w:val="20"/>
              </w:rPr>
              <w:t>res</w:t>
            </w:r>
            <w:proofErr w:type="spellEnd"/>
            <w:r>
              <w:rPr>
                <w:sz w:val="20"/>
              </w:rPr>
              <w:t xml:space="preserve"> </w:t>
            </w:r>
            <w:proofErr w:type="spellStart"/>
            <w:r>
              <w:rPr>
                <w:sz w:val="20"/>
              </w:rPr>
              <w:t>monitum</w:t>
            </w:r>
            <w:proofErr w:type="spellEnd"/>
            <w:r>
              <w:rPr>
                <w:sz w:val="20"/>
              </w:rPr>
              <w:t xml:space="preserve"> esse:</w:t>
            </w:r>
            <w:r>
              <w:rPr>
                <w:sz w:val="20"/>
              </w:rPr>
              <w:t xml:space="preserve"> </w:t>
            </w:r>
            <w:r>
              <w:rPr>
                <w:i/>
                <w:iCs/>
                <w:sz w:val="20"/>
              </w:rPr>
              <w:t>dass er zu diesen Dingen ermahnt worden sei</w:t>
            </w:r>
            <w:r>
              <w:rPr>
                <w:sz w:val="20"/>
              </w:rPr>
              <w:t>.</w:t>
            </w:r>
          </w:p>
          <w:p w14:paraId="5DADD663" w14:textId="77777777" w:rsidR="0005206B" w:rsidRDefault="001C7B3F">
            <w:pPr>
              <w:widowControl w:val="0"/>
              <w:ind w:left="341" w:hanging="284"/>
              <w:rPr>
                <w:sz w:val="20"/>
              </w:rPr>
            </w:pPr>
            <w:proofErr w:type="spellStart"/>
            <w:r>
              <w:rPr>
                <w:sz w:val="20"/>
              </w:rPr>
              <w:t>praedicāre</w:t>
            </w:r>
            <w:proofErr w:type="spellEnd"/>
            <w:r>
              <w:rPr>
                <w:sz w:val="20"/>
              </w:rPr>
              <w:t>: behaupten</w:t>
            </w:r>
          </w:p>
          <w:p w14:paraId="71066B67" w14:textId="77777777" w:rsidR="0005206B" w:rsidRDefault="001C7B3F">
            <w:pPr>
              <w:widowControl w:val="0"/>
              <w:ind w:left="341" w:hanging="284"/>
              <w:rPr>
                <w:sz w:val="20"/>
              </w:rPr>
            </w:pPr>
            <w:proofErr w:type="spellStart"/>
            <w:r>
              <w:rPr>
                <w:sz w:val="20"/>
              </w:rPr>
              <w:t>tamquam</w:t>
            </w:r>
            <w:proofErr w:type="spellEnd"/>
            <w:r>
              <w:rPr>
                <w:sz w:val="20"/>
              </w:rPr>
              <w:t xml:space="preserve"> si: wie</w:t>
            </w:r>
          </w:p>
        </w:tc>
      </w:tr>
      <w:tr w:rsidR="0005206B" w14:paraId="4D7358DA" w14:textId="77777777">
        <w:trPr>
          <w:cantSplit/>
        </w:trPr>
        <w:tc>
          <w:tcPr>
            <w:tcW w:w="5673" w:type="dxa"/>
            <w:tcBorders>
              <w:left w:val="single" w:sz="4" w:space="0" w:color="000000"/>
              <w:bottom w:val="single" w:sz="4" w:space="0" w:color="000000"/>
            </w:tcBorders>
          </w:tcPr>
          <w:p w14:paraId="7CD69D43" w14:textId="77777777" w:rsidR="0005206B" w:rsidRDefault="001C7B3F">
            <w:pPr>
              <w:widowControl w:val="0"/>
              <w:spacing w:line="336" w:lineRule="auto"/>
              <w:rPr>
                <w:rFonts w:ascii="Arial" w:hAnsi="Arial" w:cs="Arial"/>
                <w:lang w:val="la"/>
              </w:rPr>
            </w:pPr>
            <w:r>
              <w:rPr>
                <w:rFonts w:ascii="Arial" w:hAnsi="Arial" w:cs="Arial"/>
                <w:lang w:val="la"/>
              </w:rPr>
              <w:t>IV.</w:t>
            </w:r>
          </w:p>
          <w:p w14:paraId="505C09E0" w14:textId="77777777" w:rsidR="0005206B" w:rsidRDefault="001C7B3F">
            <w:pPr>
              <w:pStyle w:val="Textkrper"/>
              <w:widowControl w:val="0"/>
              <w:spacing w:line="336" w:lineRule="auto"/>
              <w:rPr>
                <w:rFonts w:ascii="Arial" w:hAnsi="Arial" w:cs="Arial"/>
                <w:lang w:val="la"/>
              </w:rPr>
            </w:pPr>
            <w:r>
              <w:rPr>
                <w:rFonts w:ascii="Arial" w:hAnsi="Arial" w:cs="Arial"/>
                <w:lang w:val="la"/>
              </w:rPr>
              <w:t>Ea cerva quodam die, cum impetus esset hostium nuntiatus, festinatione ac tumultu sollicitata in fugam se prorupit atque in palude proxima delituit.</w:t>
            </w:r>
          </w:p>
          <w:p w14:paraId="75F3BDFF" w14:textId="77777777" w:rsidR="0005206B" w:rsidRDefault="001C7B3F">
            <w:pPr>
              <w:pStyle w:val="Textkrper"/>
              <w:rPr>
                <w:rFonts w:ascii="Arial" w:hAnsi="Arial" w:cs="Arial"/>
                <w:lang w:val="la"/>
              </w:rPr>
            </w:pPr>
            <w:r>
              <w:rPr>
                <w:rFonts w:ascii="Arial" w:hAnsi="Arial" w:cs="Arial"/>
                <w:lang w:val="la"/>
              </w:rPr>
              <w:t>Postea cerva diu re</w:t>
            </w:r>
            <w:r>
              <w:rPr>
                <w:rFonts w:ascii="Arial" w:hAnsi="Arial" w:cs="Arial"/>
                <w:lang w:val="la"/>
              </w:rPr>
              <w:t xml:space="preserve">quisita est - sed frustra. Tandem omnes eam perisse crediderunt. </w:t>
            </w:r>
          </w:p>
        </w:tc>
        <w:tc>
          <w:tcPr>
            <w:tcW w:w="4189" w:type="dxa"/>
            <w:tcBorders>
              <w:left w:val="single" w:sz="4" w:space="0" w:color="000000"/>
              <w:bottom w:val="single" w:sz="4" w:space="0" w:color="000000"/>
              <w:right w:val="single" w:sz="4" w:space="0" w:color="000000"/>
            </w:tcBorders>
          </w:tcPr>
          <w:p w14:paraId="22CCE7DC" w14:textId="77777777" w:rsidR="0005206B" w:rsidRDefault="001C7B3F">
            <w:pPr>
              <w:widowControl w:val="0"/>
              <w:ind w:left="341" w:hanging="284"/>
              <w:rPr>
                <w:sz w:val="20"/>
              </w:rPr>
            </w:pPr>
            <w:r>
              <w:rPr>
                <w:sz w:val="20"/>
                <w:lang w:val="la"/>
              </w:rPr>
              <w:t>festin</w:t>
            </w:r>
            <w:r>
              <w:rPr>
                <w:sz w:val="20"/>
              </w:rPr>
              <w:t>ā</w:t>
            </w:r>
            <w:r>
              <w:rPr>
                <w:sz w:val="20"/>
                <w:lang w:val="la"/>
              </w:rPr>
              <w:t>tio, festinātiōnis, f.: die Eile, die Aufregung</w:t>
            </w:r>
          </w:p>
          <w:p w14:paraId="29E79F17" w14:textId="77777777" w:rsidR="0005206B" w:rsidRDefault="001C7B3F">
            <w:pPr>
              <w:widowControl w:val="0"/>
              <w:ind w:left="341" w:hanging="284"/>
              <w:rPr>
                <w:sz w:val="20"/>
              </w:rPr>
            </w:pPr>
            <w:proofErr w:type="spellStart"/>
            <w:r>
              <w:rPr>
                <w:sz w:val="20"/>
              </w:rPr>
              <w:t>sollicitāre</w:t>
            </w:r>
            <w:proofErr w:type="spellEnd"/>
            <w:r>
              <w:rPr>
                <w:sz w:val="20"/>
              </w:rPr>
              <w:t>: aufregen, in Verwirrung bringen</w:t>
            </w:r>
          </w:p>
          <w:p w14:paraId="35CF09BA" w14:textId="77777777" w:rsidR="0005206B" w:rsidRDefault="001C7B3F">
            <w:pPr>
              <w:widowControl w:val="0"/>
              <w:ind w:left="341" w:hanging="284"/>
              <w:rPr>
                <w:sz w:val="20"/>
              </w:rPr>
            </w:pPr>
            <w:r>
              <w:rPr>
                <w:sz w:val="20"/>
                <w:lang w:val="la"/>
              </w:rPr>
              <w:t>in fugam se prorupit</w:t>
            </w:r>
            <w:r>
              <w:rPr>
                <w:sz w:val="20"/>
              </w:rPr>
              <w:t>: sie flüchtete</w:t>
            </w:r>
          </w:p>
          <w:p w14:paraId="62B4EC46" w14:textId="77777777" w:rsidR="0005206B" w:rsidRDefault="001C7B3F">
            <w:pPr>
              <w:widowControl w:val="0"/>
              <w:ind w:left="341" w:hanging="284"/>
              <w:rPr>
                <w:sz w:val="20"/>
              </w:rPr>
            </w:pPr>
            <w:r>
              <w:rPr>
                <w:sz w:val="20"/>
                <w:lang w:val="la"/>
              </w:rPr>
              <w:t>pal</w:t>
            </w:r>
            <w:r>
              <w:rPr>
                <w:sz w:val="20"/>
              </w:rPr>
              <w:t>ū</w:t>
            </w:r>
            <w:r>
              <w:rPr>
                <w:sz w:val="20"/>
                <w:lang w:val="la"/>
              </w:rPr>
              <w:t>s, pal</w:t>
            </w:r>
            <w:r>
              <w:rPr>
                <w:sz w:val="20"/>
              </w:rPr>
              <w:t>ū</w:t>
            </w:r>
            <w:r>
              <w:rPr>
                <w:sz w:val="20"/>
                <w:lang w:val="la"/>
              </w:rPr>
              <w:t>dis</w:t>
            </w:r>
            <w:r>
              <w:rPr>
                <w:sz w:val="20"/>
              </w:rPr>
              <w:t>,</w:t>
            </w:r>
            <w:r>
              <w:rPr>
                <w:sz w:val="20"/>
                <w:lang w:val="la"/>
              </w:rPr>
              <w:t xml:space="preserve"> </w:t>
            </w:r>
            <w:r>
              <w:rPr>
                <w:sz w:val="20"/>
              </w:rPr>
              <w:t>f</w:t>
            </w:r>
            <w:r>
              <w:rPr>
                <w:sz w:val="20"/>
                <w:lang w:val="la"/>
              </w:rPr>
              <w:t>.: der Sumpf</w:t>
            </w:r>
          </w:p>
          <w:p w14:paraId="51D9331D" w14:textId="77777777" w:rsidR="0005206B" w:rsidRDefault="001C7B3F">
            <w:pPr>
              <w:widowControl w:val="0"/>
              <w:ind w:left="341" w:hanging="284"/>
              <w:rPr>
                <w:sz w:val="20"/>
                <w:lang w:val="la"/>
              </w:rPr>
            </w:pPr>
            <w:r>
              <w:rPr>
                <w:sz w:val="20"/>
                <w:lang w:val="la"/>
              </w:rPr>
              <w:t xml:space="preserve">dēlitēscere, dēlitēscō, </w:t>
            </w:r>
            <w:r>
              <w:rPr>
                <w:sz w:val="20"/>
                <w:lang w:val="la"/>
              </w:rPr>
              <w:t>dēlituī: sich verstecken</w:t>
            </w:r>
          </w:p>
          <w:p w14:paraId="148AB8C7" w14:textId="77777777" w:rsidR="0005206B" w:rsidRDefault="001C7B3F">
            <w:pPr>
              <w:widowControl w:val="0"/>
              <w:ind w:left="341" w:hanging="284"/>
              <w:rPr>
                <w:sz w:val="20"/>
                <w:lang w:val="la"/>
              </w:rPr>
            </w:pPr>
            <w:r>
              <w:rPr>
                <w:sz w:val="20"/>
                <w:lang w:val="la"/>
              </w:rPr>
              <w:t>requīrere, requīrō, requīsīvī, requīsītum: suchen</w:t>
            </w:r>
          </w:p>
          <w:p w14:paraId="28DF6A95" w14:textId="77777777" w:rsidR="0005206B" w:rsidRDefault="001C7B3F">
            <w:pPr>
              <w:widowControl w:val="0"/>
              <w:ind w:left="341" w:hanging="284"/>
              <w:rPr>
                <w:sz w:val="20"/>
                <w:lang w:val="la"/>
              </w:rPr>
            </w:pPr>
            <w:r>
              <w:rPr>
                <w:sz w:val="20"/>
                <w:lang w:val="la"/>
              </w:rPr>
              <w:t xml:space="preserve">frūstrā </w:t>
            </w:r>
            <w:r>
              <w:rPr>
                <w:rStyle w:val="Betont"/>
                <w:sz w:val="20"/>
                <w:lang w:val="la"/>
              </w:rPr>
              <w:t>(Adverb)</w:t>
            </w:r>
            <w:r>
              <w:rPr>
                <w:sz w:val="20"/>
                <w:lang w:val="la"/>
              </w:rPr>
              <w:t>: vergeblich</w:t>
            </w:r>
          </w:p>
          <w:p w14:paraId="1E08AA20" w14:textId="77777777" w:rsidR="0005206B" w:rsidRDefault="001C7B3F">
            <w:pPr>
              <w:widowControl w:val="0"/>
              <w:ind w:left="341" w:hanging="284"/>
              <w:rPr>
                <w:sz w:val="20"/>
              </w:rPr>
            </w:pPr>
            <w:r>
              <w:rPr>
                <w:sz w:val="20"/>
                <w:lang w:val="la"/>
              </w:rPr>
              <w:t>perīre</w:t>
            </w:r>
            <w:r>
              <w:rPr>
                <w:sz w:val="20"/>
              </w:rPr>
              <w:t xml:space="preserve">, </w:t>
            </w:r>
            <w:proofErr w:type="spellStart"/>
            <w:r>
              <w:rPr>
                <w:sz w:val="20"/>
              </w:rPr>
              <w:t>pere</w:t>
            </w:r>
            <w:proofErr w:type="spellEnd"/>
            <w:r>
              <w:rPr>
                <w:sz w:val="20"/>
                <w:lang w:val="la"/>
              </w:rPr>
              <w:t>ō</w:t>
            </w:r>
            <w:r>
              <w:rPr>
                <w:sz w:val="20"/>
              </w:rPr>
              <w:t xml:space="preserve">, </w:t>
            </w:r>
            <w:proofErr w:type="spellStart"/>
            <w:r>
              <w:rPr>
                <w:sz w:val="20"/>
              </w:rPr>
              <w:t>peri</w:t>
            </w:r>
            <w:proofErr w:type="spellEnd"/>
            <w:r>
              <w:rPr>
                <w:sz w:val="20"/>
                <w:lang w:val="la"/>
              </w:rPr>
              <w:t>ī</w:t>
            </w:r>
            <w:r>
              <w:rPr>
                <w:sz w:val="20"/>
              </w:rPr>
              <w:t xml:space="preserve">, </w:t>
            </w:r>
            <w:proofErr w:type="spellStart"/>
            <w:r>
              <w:rPr>
                <w:sz w:val="20"/>
              </w:rPr>
              <w:t>peritum</w:t>
            </w:r>
            <w:proofErr w:type="spellEnd"/>
            <w:r>
              <w:rPr>
                <w:sz w:val="20"/>
                <w:lang w:val="la"/>
              </w:rPr>
              <w:t>: umkommen</w:t>
            </w:r>
          </w:p>
        </w:tc>
      </w:tr>
      <w:tr w:rsidR="0005206B" w14:paraId="558733B0" w14:textId="77777777">
        <w:trPr>
          <w:cantSplit/>
        </w:trPr>
        <w:tc>
          <w:tcPr>
            <w:tcW w:w="5673" w:type="dxa"/>
            <w:tcBorders>
              <w:left w:val="single" w:sz="4" w:space="0" w:color="000000"/>
              <w:bottom w:val="single" w:sz="4" w:space="0" w:color="000000"/>
            </w:tcBorders>
          </w:tcPr>
          <w:p w14:paraId="5D248B1F" w14:textId="77777777" w:rsidR="0005206B" w:rsidRDefault="001C7B3F">
            <w:pPr>
              <w:widowControl w:val="0"/>
              <w:spacing w:line="336" w:lineRule="auto"/>
              <w:rPr>
                <w:rFonts w:ascii="Arial" w:hAnsi="Arial" w:cs="Arial"/>
                <w:lang w:val="la"/>
              </w:rPr>
            </w:pPr>
            <w:r>
              <w:rPr>
                <w:rFonts w:ascii="Arial" w:hAnsi="Arial" w:cs="Arial"/>
                <w:lang w:val="la"/>
              </w:rPr>
              <w:t>Neque multis diebus post inventam esse cervam Sertorio nuntiatur.</w:t>
            </w:r>
          </w:p>
          <w:p w14:paraId="5DF9FBA0" w14:textId="77777777" w:rsidR="0005206B" w:rsidRDefault="001C7B3F">
            <w:pPr>
              <w:widowControl w:val="0"/>
              <w:spacing w:line="336" w:lineRule="auto"/>
              <w:rPr>
                <w:rFonts w:ascii="Arial" w:hAnsi="Arial" w:cs="Arial"/>
                <w:lang w:val="la"/>
              </w:rPr>
            </w:pPr>
            <w:r>
              <w:rPr>
                <w:rFonts w:ascii="Arial" w:hAnsi="Arial" w:cs="Arial"/>
                <w:lang w:val="la"/>
              </w:rPr>
              <w:t xml:space="preserve">Tum hunc servum, qui nuntiaverat, </w:t>
            </w:r>
            <w:r>
              <w:rPr>
                <w:rFonts w:ascii="Arial" w:hAnsi="Arial" w:cs="Arial"/>
                <w:lang w:val="la"/>
              </w:rPr>
              <w:t>iussit tacere ac monuit, ne cui palam diceret, praecepitque, ut eam postero die repente in eum locum, in quo ipse cum amicis esset, immitteret.</w:t>
            </w:r>
          </w:p>
        </w:tc>
        <w:tc>
          <w:tcPr>
            <w:tcW w:w="4189" w:type="dxa"/>
            <w:tcBorders>
              <w:left w:val="single" w:sz="4" w:space="0" w:color="000000"/>
              <w:bottom w:val="single" w:sz="4" w:space="0" w:color="000000"/>
              <w:right w:val="single" w:sz="4" w:space="0" w:color="000000"/>
            </w:tcBorders>
          </w:tcPr>
          <w:p w14:paraId="5A372162" w14:textId="77777777" w:rsidR="0005206B" w:rsidRDefault="001C7B3F">
            <w:pPr>
              <w:widowControl w:val="0"/>
              <w:ind w:left="341" w:hanging="284"/>
              <w:rPr>
                <w:sz w:val="20"/>
              </w:rPr>
            </w:pPr>
            <w:r>
              <w:rPr>
                <w:sz w:val="20"/>
              </w:rPr>
              <w:t>n</w:t>
            </w:r>
            <w:r>
              <w:rPr>
                <w:sz w:val="20"/>
                <w:lang w:val="la"/>
              </w:rPr>
              <w:t>ē</w:t>
            </w:r>
            <w:r>
              <w:rPr>
                <w:sz w:val="20"/>
              </w:rPr>
              <w:t xml:space="preserve"> </w:t>
            </w:r>
            <w:proofErr w:type="spellStart"/>
            <w:r>
              <w:rPr>
                <w:sz w:val="20"/>
              </w:rPr>
              <w:t>cui</w:t>
            </w:r>
            <w:proofErr w:type="spellEnd"/>
            <w:r>
              <w:rPr>
                <w:sz w:val="20"/>
              </w:rPr>
              <w:t>: dass er niemandem</w:t>
            </w:r>
          </w:p>
          <w:p w14:paraId="10089AE6" w14:textId="77777777" w:rsidR="0005206B" w:rsidRDefault="001C7B3F">
            <w:pPr>
              <w:widowControl w:val="0"/>
              <w:ind w:left="341" w:hanging="284"/>
              <w:rPr>
                <w:sz w:val="20"/>
              </w:rPr>
            </w:pPr>
            <w:r>
              <w:rPr>
                <w:sz w:val="20"/>
                <w:lang w:val="la"/>
              </w:rPr>
              <w:t>palam</w:t>
            </w:r>
            <w:r>
              <w:rPr>
                <w:sz w:val="20"/>
              </w:rPr>
              <w:t xml:space="preserve"> </w:t>
            </w:r>
            <w:r>
              <w:rPr>
                <w:i/>
                <w:iCs/>
                <w:sz w:val="20"/>
              </w:rPr>
              <w:t>(Adverb)</w:t>
            </w:r>
            <w:r>
              <w:rPr>
                <w:sz w:val="20"/>
                <w:lang w:val="la"/>
              </w:rPr>
              <w:t>: öffentlic</w:t>
            </w:r>
            <w:r>
              <w:rPr>
                <w:sz w:val="20"/>
              </w:rPr>
              <w:t>h</w:t>
            </w:r>
          </w:p>
          <w:p w14:paraId="352B2B6B" w14:textId="77777777" w:rsidR="0005206B" w:rsidRDefault="001C7B3F">
            <w:pPr>
              <w:widowControl w:val="0"/>
              <w:ind w:left="341" w:hanging="284"/>
              <w:rPr>
                <w:sz w:val="20"/>
              </w:rPr>
            </w:pPr>
            <w:proofErr w:type="spellStart"/>
            <w:r>
              <w:rPr>
                <w:sz w:val="20"/>
              </w:rPr>
              <w:t>praecipere</w:t>
            </w:r>
            <w:proofErr w:type="spellEnd"/>
            <w:r>
              <w:rPr>
                <w:sz w:val="20"/>
              </w:rPr>
              <w:t xml:space="preserve">, </w:t>
            </w:r>
            <w:proofErr w:type="spellStart"/>
            <w:r>
              <w:rPr>
                <w:sz w:val="20"/>
              </w:rPr>
              <w:t>praecipi</w:t>
            </w:r>
            <w:proofErr w:type="spellEnd"/>
            <w:r>
              <w:rPr>
                <w:sz w:val="20"/>
                <w:lang w:val="la"/>
              </w:rPr>
              <w:t>ō</w:t>
            </w:r>
            <w:r>
              <w:rPr>
                <w:sz w:val="20"/>
              </w:rPr>
              <w:t xml:space="preserve">, </w:t>
            </w:r>
            <w:proofErr w:type="spellStart"/>
            <w:r>
              <w:rPr>
                <w:sz w:val="20"/>
              </w:rPr>
              <w:t>praec</w:t>
            </w:r>
            <w:proofErr w:type="spellEnd"/>
            <w:r>
              <w:rPr>
                <w:sz w:val="20"/>
                <w:lang w:val="la"/>
              </w:rPr>
              <w:t>ē</w:t>
            </w:r>
            <w:r>
              <w:rPr>
                <w:sz w:val="20"/>
              </w:rPr>
              <w:t>p</w:t>
            </w:r>
            <w:r>
              <w:rPr>
                <w:sz w:val="20"/>
                <w:lang w:val="la"/>
              </w:rPr>
              <w:t>ī</w:t>
            </w:r>
            <w:r>
              <w:rPr>
                <w:sz w:val="20"/>
              </w:rPr>
              <w:t xml:space="preserve">, </w:t>
            </w:r>
            <w:proofErr w:type="spellStart"/>
            <w:r>
              <w:rPr>
                <w:sz w:val="20"/>
              </w:rPr>
              <w:t>praeceptum</w:t>
            </w:r>
            <w:proofErr w:type="spellEnd"/>
            <w:r>
              <w:rPr>
                <w:sz w:val="20"/>
              </w:rPr>
              <w:t xml:space="preserve">: </w:t>
            </w:r>
            <w:r>
              <w:rPr>
                <w:i/>
                <w:iCs/>
                <w:sz w:val="20"/>
              </w:rPr>
              <w:t>jemanden</w:t>
            </w:r>
            <w:r>
              <w:rPr>
                <w:sz w:val="20"/>
              </w:rPr>
              <w:t xml:space="preserve"> anweisen, </w:t>
            </w:r>
            <w:r>
              <w:rPr>
                <w:i/>
                <w:iCs/>
                <w:sz w:val="20"/>
              </w:rPr>
              <w:t>jemandem etwas</w:t>
            </w:r>
            <w:r>
              <w:rPr>
                <w:sz w:val="20"/>
              </w:rPr>
              <w:t xml:space="preserve"> befehlen</w:t>
            </w:r>
          </w:p>
          <w:p w14:paraId="542D74BF" w14:textId="77777777" w:rsidR="0005206B" w:rsidRDefault="001C7B3F">
            <w:pPr>
              <w:widowControl w:val="0"/>
              <w:ind w:left="341" w:hanging="284"/>
              <w:rPr>
                <w:sz w:val="20"/>
              </w:rPr>
            </w:pPr>
            <w:proofErr w:type="spellStart"/>
            <w:r>
              <w:rPr>
                <w:sz w:val="20"/>
              </w:rPr>
              <w:t>repente</w:t>
            </w:r>
            <w:proofErr w:type="spellEnd"/>
            <w:r>
              <w:rPr>
                <w:sz w:val="20"/>
              </w:rPr>
              <w:t xml:space="preserve"> </w:t>
            </w:r>
            <w:r>
              <w:rPr>
                <w:i/>
                <w:iCs/>
                <w:sz w:val="20"/>
              </w:rPr>
              <w:t>(Adverb)</w:t>
            </w:r>
            <w:r>
              <w:rPr>
                <w:sz w:val="20"/>
              </w:rPr>
              <w:t>: plötzlich</w:t>
            </w:r>
          </w:p>
          <w:p w14:paraId="6EE4AB29" w14:textId="77777777" w:rsidR="0005206B" w:rsidRDefault="001C7B3F">
            <w:pPr>
              <w:pStyle w:val="Textkrper"/>
              <w:widowControl w:val="0"/>
              <w:spacing w:line="240" w:lineRule="auto"/>
              <w:ind w:left="341" w:hanging="284"/>
              <w:rPr>
                <w:sz w:val="20"/>
              </w:rPr>
            </w:pPr>
            <w:proofErr w:type="spellStart"/>
            <w:r>
              <w:rPr>
                <w:sz w:val="20"/>
              </w:rPr>
              <w:t>immittere</w:t>
            </w:r>
            <w:proofErr w:type="spellEnd"/>
            <w:r>
              <w:rPr>
                <w:sz w:val="20"/>
              </w:rPr>
              <w:t xml:space="preserve">, </w:t>
            </w:r>
            <w:proofErr w:type="spellStart"/>
            <w:r>
              <w:rPr>
                <w:sz w:val="20"/>
              </w:rPr>
              <w:t>immittō</w:t>
            </w:r>
            <w:proofErr w:type="spellEnd"/>
            <w:r>
              <w:rPr>
                <w:sz w:val="20"/>
              </w:rPr>
              <w:t xml:space="preserve">, </w:t>
            </w:r>
            <w:proofErr w:type="spellStart"/>
            <w:r>
              <w:rPr>
                <w:sz w:val="20"/>
              </w:rPr>
              <w:t>immīsī</w:t>
            </w:r>
            <w:proofErr w:type="spellEnd"/>
            <w:r>
              <w:rPr>
                <w:sz w:val="20"/>
              </w:rPr>
              <w:t xml:space="preserve">, </w:t>
            </w:r>
            <w:proofErr w:type="spellStart"/>
            <w:proofErr w:type="gramStart"/>
            <w:r>
              <w:rPr>
                <w:sz w:val="20"/>
              </w:rPr>
              <w:t>immissum</w:t>
            </w:r>
            <w:proofErr w:type="spellEnd"/>
            <w:r>
              <w:rPr>
                <w:sz w:val="20"/>
              </w:rPr>
              <w:t xml:space="preserve"> :</w:t>
            </w:r>
            <w:proofErr w:type="gramEnd"/>
            <w:r>
              <w:rPr>
                <w:sz w:val="20"/>
              </w:rPr>
              <w:t xml:space="preserve"> hineinschicken, hineintreiben</w:t>
            </w:r>
          </w:p>
        </w:tc>
      </w:tr>
      <w:tr w:rsidR="0005206B" w14:paraId="73238C4B" w14:textId="77777777">
        <w:trPr>
          <w:cantSplit/>
        </w:trPr>
        <w:tc>
          <w:tcPr>
            <w:tcW w:w="5673" w:type="dxa"/>
            <w:tcBorders>
              <w:left w:val="single" w:sz="4" w:space="0" w:color="000000"/>
              <w:bottom w:val="single" w:sz="4" w:space="0" w:color="000000"/>
            </w:tcBorders>
          </w:tcPr>
          <w:p w14:paraId="3ED6C114" w14:textId="77777777" w:rsidR="0005206B" w:rsidRDefault="001C7B3F">
            <w:pPr>
              <w:widowControl w:val="0"/>
              <w:spacing w:line="336" w:lineRule="auto"/>
              <w:rPr>
                <w:rFonts w:ascii="Arial" w:hAnsi="Arial" w:cs="Arial"/>
                <w:lang w:val="la"/>
              </w:rPr>
            </w:pPr>
            <w:r>
              <w:rPr>
                <w:rFonts w:ascii="Arial" w:hAnsi="Arial" w:cs="Arial"/>
                <w:lang w:val="la"/>
              </w:rPr>
              <w:lastRenderedPageBreak/>
              <w:t>V.</w:t>
            </w:r>
          </w:p>
          <w:p w14:paraId="4FB9E372" w14:textId="77777777" w:rsidR="0005206B" w:rsidRDefault="001C7B3F">
            <w:pPr>
              <w:widowControl w:val="0"/>
              <w:spacing w:line="336" w:lineRule="auto"/>
              <w:rPr>
                <w:rFonts w:ascii="Arial" w:hAnsi="Arial" w:cs="Arial"/>
              </w:rPr>
            </w:pPr>
            <w:r>
              <w:rPr>
                <w:rFonts w:ascii="Arial" w:hAnsi="Arial" w:cs="Arial"/>
                <w:lang w:val="la"/>
              </w:rPr>
              <w:t>Admissis deinde amicis postridie</w:t>
            </w:r>
            <w:r>
              <w:rPr>
                <w:rFonts w:ascii="Arial" w:hAnsi="Arial" w:cs="Arial"/>
                <w:lang w:val="en-US"/>
              </w:rPr>
              <w:t xml:space="preserve"> </w:t>
            </w:r>
            <w:r>
              <w:rPr>
                <w:rFonts w:ascii="Arial" w:hAnsi="Arial" w:cs="Arial"/>
                <w:lang w:val="la"/>
              </w:rPr>
              <w:t>se eam cervam, quae perisset, in quiete vidisse dixit et</w:t>
            </w:r>
            <w:r>
              <w:rPr>
                <w:rFonts w:ascii="Arial" w:hAnsi="Arial" w:cs="Arial"/>
                <w:lang w:val="en-US"/>
              </w:rPr>
              <w:t xml:space="preserve"> </w:t>
            </w:r>
            <w:r>
              <w:rPr>
                <w:rFonts w:ascii="Arial" w:hAnsi="Arial" w:cs="Arial"/>
                <w:lang w:val="la"/>
              </w:rPr>
              <w:t xml:space="preserve">ad se </w:t>
            </w:r>
            <w:proofErr w:type="spellStart"/>
            <w:r>
              <w:rPr>
                <w:rFonts w:ascii="Arial" w:hAnsi="Arial" w:cs="Arial"/>
                <w:lang w:val="en-GB"/>
              </w:rPr>
              <w:t>redire</w:t>
            </w:r>
            <w:proofErr w:type="spellEnd"/>
            <w:r>
              <w:rPr>
                <w:rFonts w:ascii="Arial" w:hAnsi="Arial" w:cs="Arial"/>
                <w:lang w:val="la"/>
              </w:rPr>
              <w:t xml:space="preserve"> et, ut pr</w:t>
            </w:r>
            <w:r>
              <w:rPr>
                <w:rFonts w:ascii="Arial" w:hAnsi="Arial" w:cs="Arial"/>
                <w:lang w:val="la"/>
              </w:rPr>
              <w:t>ius consuerat</w:t>
            </w:r>
            <w:r>
              <w:rPr>
                <w:rFonts w:ascii="Arial" w:hAnsi="Arial" w:cs="Arial"/>
                <w:lang w:val="en-GB"/>
              </w:rPr>
              <w:t>,</w:t>
            </w:r>
            <w:r>
              <w:rPr>
                <w:rFonts w:ascii="Arial" w:hAnsi="Arial" w:cs="Arial"/>
                <w:lang w:val="la"/>
              </w:rPr>
              <w:t xml:space="preserve"> praedicere, quod facere deberet.</w:t>
            </w:r>
          </w:p>
        </w:tc>
        <w:tc>
          <w:tcPr>
            <w:tcW w:w="4189" w:type="dxa"/>
            <w:tcBorders>
              <w:left w:val="single" w:sz="4" w:space="0" w:color="000000"/>
              <w:bottom w:val="single" w:sz="4" w:space="0" w:color="000000"/>
              <w:right w:val="single" w:sz="4" w:space="0" w:color="000000"/>
            </w:tcBorders>
          </w:tcPr>
          <w:p w14:paraId="29577BAF" w14:textId="77777777" w:rsidR="0005206B" w:rsidRDefault="001C7B3F">
            <w:pPr>
              <w:widowControl w:val="0"/>
              <w:ind w:left="341" w:hanging="284"/>
              <w:rPr>
                <w:sz w:val="20"/>
              </w:rPr>
            </w:pPr>
            <w:proofErr w:type="spellStart"/>
            <w:r>
              <w:rPr>
                <w:sz w:val="20"/>
              </w:rPr>
              <w:t>postrīdiē</w:t>
            </w:r>
            <w:proofErr w:type="spellEnd"/>
            <w:r>
              <w:rPr>
                <w:sz w:val="20"/>
              </w:rPr>
              <w:t xml:space="preserve"> </w:t>
            </w:r>
            <w:r>
              <w:rPr>
                <w:i/>
                <w:iCs/>
                <w:sz w:val="20"/>
              </w:rPr>
              <w:t>(Adverb)</w:t>
            </w:r>
            <w:r>
              <w:rPr>
                <w:sz w:val="20"/>
              </w:rPr>
              <w:t>: am nächsten Tag</w:t>
            </w:r>
          </w:p>
          <w:p w14:paraId="1C30B84D" w14:textId="77777777" w:rsidR="0005206B" w:rsidRDefault="001C7B3F">
            <w:pPr>
              <w:widowControl w:val="0"/>
              <w:ind w:left="341" w:hanging="284"/>
              <w:rPr>
                <w:sz w:val="20"/>
              </w:rPr>
            </w:pPr>
            <w:proofErr w:type="spellStart"/>
            <w:r>
              <w:rPr>
                <w:sz w:val="20"/>
              </w:rPr>
              <w:t>quiēs</w:t>
            </w:r>
            <w:proofErr w:type="spellEnd"/>
            <w:r>
              <w:rPr>
                <w:sz w:val="20"/>
              </w:rPr>
              <w:t xml:space="preserve">, </w:t>
            </w:r>
            <w:proofErr w:type="spellStart"/>
            <w:r>
              <w:rPr>
                <w:sz w:val="20"/>
              </w:rPr>
              <w:t>quiētis</w:t>
            </w:r>
            <w:proofErr w:type="spellEnd"/>
            <w:r>
              <w:rPr>
                <w:sz w:val="20"/>
              </w:rPr>
              <w:t>, f.: der Schlaf, der Traum</w:t>
            </w:r>
          </w:p>
          <w:p w14:paraId="141B1FA4" w14:textId="77777777" w:rsidR="0005206B" w:rsidRDefault="001C7B3F">
            <w:pPr>
              <w:widowControl w:val="0"/>
              <w:ind w:left="341" w:hanging="284"/>
              <w:rPr>
                <w:sz w:val="20"/>
              </w:rPr>
            </w:pPr>
            <w:proofErr w:type="spellStart"/>
            <w:r>
              <w:rPr>
                <w:sz w:val="20"/>
              </w:rPr>
              <w:t>cōnsuēscere</w:t>
            </w:r>
            <w:proofErr w:type="spellEnd"/>
            <w:r>
              <w:rPr>
                <w:sz w:val="20"/>
              </w:rPr>
              <w:t xml:space="preserve">, </w:t>
            </w:r>
            <w:proofErr w:type="spellStart"/>
            <w:r>
              <w:rPr>
                <w:sz w:val="20"/>
              </w:rPr>
              <w:t>cōnsuēscō</w:t>
            </w:r>
            <w:proofErr w:type="spellEnd"/>
            <w:r>
              <w:rPr>
                <w:sz w:val="20"/>
              </w:rPr>
              <w:t xml:space="preserve">, </w:t>
            </w:r>
            <w:proofErr w:type="spellStart"/>
            <w:r>
              <w:rPr>
                <w:sz w:val="20"/>
              </w:rPr>
              <w:t>cōnsuēvī</w:t>
            </w:r>
            <w:proofErr w:type="spellEnd"/>
            <w:r>
              <w:rPr>
                <w:sz w:val="20"/>
              </w:rPr>
              <w:t xml:space="preserve">, </w:t>
            </w:r>
            <w:proofErr w:type="spellStart"/>
            <w:r>
              <w:rPr>
                <w:sz w:val="20"/>
              </w:rPr>
              <w:t>cōnsuētum</w:t>
            </w:r>
            <w:proofErr w:type="spellEnd"/>
            <w:r>
              <w:rPr>
                <w:sz w:val="20"/>
              </w:rPr>
              <w:t xml:space="preserve">: sich angewöhnen; </w:t>
            </w:r>
            <w:proofErr w:type="spellStart"/>
            <w:r>
              <w:rPr>
                <w:sz w:val="20"/>
              </w:rPr>
              <w:t>consuevisse</w:t>
            </w:r>
            <w:proofErr w:type="spellEnd"/>
            <w:r>
              <w:rPr>
                <w:sz w:val="20"/>
              </w:rPr>
              <w:t xml:space="preserve">: gewohnt sein. </w:t>
            </w:r>
            <w:r>
              <w:rPr>
                <w:i/>
                <w:iCs/>
                <w:sz w:val="20"/>
              </w:rPr>
              <w:t>Die Form</w:t>
            </w:r>
            <w:r>
              <w:rPr>
                <w:sz w:val="20"/>
              </w:rPr>
              <w:t xml:space="preserve"> </w:t>
            </w:r>
            <w:proofErr w:type="spellStart"/>
            <w:r>
              <w:rPr>
                <w:sz w:val="20"/>
              </w:rPr>
              <w:t>cōnsuerat</w:t>
            </w:r>
            <w:proofErr w:type="spellEnd"/>
            <w:r>
              <w:rPr>
                <w:sz w:val="20"/>
              </w:rPr>
              <w:t xml:space="preserve"> </w:t>
            </w:r>
            <w:r>
              <w:rPr>
                <w:i/>
                <w:iCs/>
                <w:sz w:val="20"/>
              </w:rPr>
              <w:t>ist Plusquamperfekt und mit dem Präteritum zu übersetzen</w:t>
            </w:r>
            <w:r>
              <w:rPr>
                <w:sz w:val="20"/>
              </w:rPr>
              <w:t xml:space="preserve"> (sie war gewohnt)</w:t>
            </w:r>
          </w:p>
          <w:p w14:paraId="6F999CDC" w14:textId="77777777" w:rsidR="0005206B" w:rsidRDefault="001C7B3F">
            <w:pPr>
              <w:widowControl w:val="0"/>
              <w:ind w:left="341" w:hanging="284"/>
              <w:rPr>
                <w:sz w:val="20"/>
              </w:rPr>
            </w:pPr>
            <w:r>
              <w:rPr>
                <w:sz w:val="20"/>
              </w:rPr>
              <w:t xml:space="preserve">quod </w:t>
            </w:r>
            <w:proofErr w:type="spellStart"/>
            <w:r>
              <w:rPr>
                <w:sz w:val="20"/>
              </w:rPr>
              <w:t>facere</w:t>
            </w:r>
            <w:proofErr w:type="spellEnd"/>
            <w:r>
              <w:rPr>
                <w:sz w:val="20"/>
              </w:rPr>
              <w:t xml:space="preserve"> </w:t>
            </w:r>
            <w:proofErr w:type="spellStart"/>
            <w:r>
              <w:rPr>
                <w:sz w:val="20"/>
              </w:rPr>
              <w:t>deberet</w:t>
            </w:r>
            <w:proofErr w:type="spellEnd"/>
            <w:r>
              <w:rPr>
                <w:sz w:val="20"/>
              </w:rPr>
              <w:t xml:space="preserve">: </w:t>
            </w:r>
            <w:r>
              <w:rPr>
                <w:rStyle w:val="Betont"/>
                <w:sz w:val="20"/>
              </w:rPr>
              <w:t>Subjekt ist Sertorius.</w:t>
            </w:r>
          </w:p>
        </w:tc>
      </w:tr>
      <w:tr w:rsidR="0005206B" w14:paraId="5BCEF5EA" w14:textId="77777777">
        <w:trPr>
          <w:cantSplit/>
        </w:trPr>
        <w:tc>
          <w:tcPr>
            <w:tcW w:w="5673" w:type="dxa"/>
            <w:tcBorders>
              <w:left w:val="single" w:sz="4" w:space="0" w:color="000000"/>
              <w:bottom w:val="single" w:sz="4" w:space="0" w:color="000000"/>
            </w:tcBorders>
          </w:tcPr>
          <w:p w14:paraId="35CA1A80" w14:textId="77777777" w:rsidR="0005206B" w:rsidRDefault="001C7B3F">
            <w:pPr>
              <w:widowControl w:val="0"/>
              <w:spacing w:line="336" w:lineRule="auto"/>
              <w:rPr>
                <w:rFonts w:ascii="Arial" w:hAnsi="Arial" w:cs="Arial"/>
              </w:rPr>
            </w:pPr>
            <w:r>
              <w:rPr>
                <w:rFonts w:ascii="Arial" w:hAnsi="Arial" w:cs="Arial"/>
                <w:lang w:val="la"/>
              </w:rPr>
              <w:t xml:space="preserve">Tum servo </w:t>
            </w:r>
            <w:r>
              <w:rPr>
                <w:rFonts w:ascii="Arial" w:hAnsi="Arial" w:cs="Arial"/>
                <w:lang w:val="en-GB"/>
              </w:rPr>
              <w:t xml:space="preserve">id </w:t>
            </w:r>
            <w:r>
              <w:rPr>
                <w:rFonts w:ascii="Arial" w:hAnsi="Arial" w:cs="Arial"/>
                <w:lang w:val="la"/>
              </w:rPr>
              <w:t>signum dedit, q</w:t>
            </w:r>
            <w:r>
              <w:rPr>
                <w:rFonts w:ascii="Arial" w:hAnsi="Arial" w:cs="Arial"/>
                <w:lang w:val="la"/>
              </w:rPr>
              <w:t>uod imperaverat.</w:t>
            </w:r>
          </w:p>
          <w:p w14:paraId="256760B7" w14:textId="77777777" w:rsidR="0005206B" w:rsidRDefault="001C7B3F">
            <w:pPr>
              <w:widowControl w:val="0"/>
              <w:spacing w:line="336" w:lineRule="auto"/>
              <w:rPr>
                <w:rFonts w:ascii="Arial" w:hAnsi="Arial" w:cs="Arial"/>
              </w:rPr>
            </w:pPr>
            <w:r>
              <w:rPr>
                <w:rFonts w:ascii="Arial" w:hAnsi="Arial" w:cs="Arial"/>
                <w:lang w:val="en-US"/>
              </w:rPr>
              <w:t>C</w:t>
            </w:r>
            <w:r>
              <w:rPr>
                <w:rFonts w:ascii="Arial" w:hAnsi="Arial" w:cs="Arial"/>
                <w:lang w:val="la"/>
              </w:rPr>
              <w:t>erva emissa in cubiculum Sertorii introrupit, clamor factus est, admiratio magna orta est, omnes miraculum laudaverunt.</w:t>
            </w:r>
          </w:p>
        </w:tc>
        <w:tc>
          <w:tcPr>
            <w:tcW w:w="4189" w:type="dxa"/>
            <w:tcBorders>
              <w:left w:val="single" w:sz="4" w:space="0" w:color="000000"/>
              <w:bottom w:val="single" w:sz="4" w:space="0" w:color="000000"/>
              <w:right w:val="single" w:sz="4" w:space="0" w:color="000000"/>
            </w:tcBorders>
          </w:tcPr>
          <w:p w14:paraId="09F61983" w14:textId="77777777" w:rsidR="0005206B" w:rsidRDefault="001C7B3F">
            <w:pPr>
              <w:widowControl w:val="0"/>
              <w:spacing w:before="57"/>
              <w:ind w:left="341" w:hanging="284"/>
              <w:rPr>
                <w:sz w:val="20"/>
              </w:rPr>
            </w:pPr>
            <w:proofErr w:type="spellStart"/>
            <w:r>
              <w:rPr>
                <w:sz w:val="20"/>
              </w:rPr>
              <w:t>cubiculum</w:t>
            </w:r>
            <w:proofErr w:type="spellEnd"/>
            <w:r>
              <w:rPr>
                <w:sz w:val="20"/>
              </w:rPr>
              <w:t xml:space="preserve">, </w:t>
            </w:r>
            <w:proofErr w:type="spellStart"/>
            <w:r>
              <w:rPr>
                <w:sz w:val="20"/>
              </w:rPr>
              <w:t>cubiculī</w:t>
            </w:r>
            <w:proofErr w:type="spellEnd"/>
            <w:r>
              <w:rPr>
                <w:sz w:val="20"/>
              </w:rPr>
              <w:t>, n.: das Zimmer</w:t>
            </w:r>
          </w:p>
          <w:p w14:paraId="413D5F93" w14:textId="77777777" w:rsidR="0005206B" w:rsidRDefault="001C7B3F">
            <w:pPr>
              <w:widowControl w:val="0"/>
              <w:spacing w:before="57"/>
              <w:ind w:left="341" w:hanging="284"/>
              <w:rPr>
                <w:sz w:val="20"/>
              </w:rPr>
            </w:pPr>
            <w:proofErr w:type="spellStart"/>
            <w:r>
              <w:rPr>
                <w:sz w:val="20"/>
              </w:rPr>
              <w:t>intrōrumpere</w:t>
            </w:r>
            <w:proofErr w:type="spellEnd"/>
            <w:r>
              <w:rPr>
                <w:sz w:val="20"/>
              </w:rPr>
              <w:t xml:space="preserve">, </w:t>
            </w:r>
            <w:proofErr w:type="spellStart"/>
            <w:r>
              <w:rPr>
                <w:sz w:val="20"/>
              </w:rPr>
              <w:t>intrōrumpō</w:t>
            </w:r>
            <w:proofErr w:type="spellEnd"/>
            <w:r>
              <w:rPr>
                <w:sz w:val="20"/>
              </w:rPr>
              <w:t xml:space="preserve">, </w:t>
            </w:r>
            <w:proofErr w:type="spellStart"/>
            <w:r>
              <w:rPr>
                <w:sz w:val="20"/>
              </w:rPr>
              <w:t>intrōrūpī</w:t>
            </w:r>
            <w:proofErr w:type="spellEnd"/>
            <w:r>
              <w:rPr>
                <w:sz w:val="20"/>
              </w:rPr>
              <w:t xml:space="preserve">, </w:t>
            </w:r>
            <w:proofErr w:type="spellStart"/>
            <w:r>
              <w:rPr>
                <w:sz w:val="20"/>
              </w:rPr>
              <w:t>intrōruptum</w:t>
            </w:r>
            <w:proofErr w:type="spellEnd"/>
            <w:r>
              <w:rPr>
                <w:sz w:val="20"/>
              </w:rPr>
              <w:t>: hineinstürzen</w:t>
            </w:r>
          </w:p>
          <w:p w14:paraId="6A8871F3" w14:textId="77777777" w:rsidR="0005206B" w:rsidRDefault="001C7B3F">
            <w:pPr>
              <w:widowControl w:val="0"/>
              <w:spacing w:before="57"/>
              <w:ind w:left="341" w:hanging="284"/>
              <w:rPr>
                <w:sz w:val="20"/>
              </w:rPr>
            </w:pPr>
            <w:proofErr w:type="spellStart"/>
            <w:r>
              <w:rPr>
                <w:sz w:val="20"/>
              </w:rPr>
              <w:t>admīrātiō</w:t>
            </w:r>
            <w:proofErr w:type="spellEnd"/>
            <w:r>
              <w:rPr>
                <w:sz w:val="20"/>
              </w:rPr>
              <w:t xml:space="preserve">, </w:t>
            </w:r>
            <w:proofErr w:type="spellStart"/>
            <w:r>
              <w:rPr>
                <w:sz w:val="20"/>
              </w:rPr>
              <w:t>admīrāt</w:t>
            </w:r>
            <w:r>
              <w:rPr>
                <w:sz w:val="20"/>
              </w:rPr>
              <w:t>iōnis</w:t>
            </w:r>
            <w:proofErr w:type="spellEnd"/>
            <w:r>
              <w:rPr>
                <w:sz w:val="20"/>
              </w:rPr>
              <w:t>, f.: die Bewunderung</w:t>
            </w:r>
          </w:p>
          <w:p w14:paraId="0F887888" w14:textId="77777777" w:rsidR="0005206B" w:rsidRDefault="001C7B3F">
            <w:pPr>
              <w:pStyle w:val="Textkrper"/>
              <w:widowControl w:val="0"/>
              <w:spacing w:before="57" w:after="0" w:line="240" w:lineRule="auto"/>
              <w:ind w:left="341" w:hanging="284"/>
              <w:rPr>
                <w:sz w:val="20"/>
              </w:rPr>
            </w:pPr>
            <w:proofErr w:type="spellStart"/>
            <w:r>
              <w:rPr>
                <w:sz w:val="20"/>
              </w:rPr>
              <w:t>orta</w:t>
            </w:r>
            <w:proofErr w:type="spellEnd"/>
            <w:r>
              <w:rPr>
                <w:sz w:val="20"/>
              </w:rPr>
              <w:t xml:space="preserve"> </w:t>
            </w:r>
            <w:proofErr w:type="spellStart"/>
            <w:r>
              <w:rPr>
                <w:sz w:val="20"/>
              </w:rPr>
              <w:t>est</w:t>
            </w:r>
            <w:proofErr w:type="spellEnd"/>
            <w:r>
              <w:rPr>
                <w:sz w:val="20"/>
              </w:rPr>
              <w:t xml:space="preserve">: sie </w:t>
            </w:r>
            <w:r>
              <w:rPr>
                <w:rStyle w:val="Betont"/>
                <w:sz w:val="20"/>
              </w:rPr>
              <w:t>(die Bewunderung)</w:t>
            </w:r>
            <w:r>
              <w:rPr>
                <w:sz w:val="20"/>
              </w:rPr>
              <w:t xml:space="preserve"> ist entstanden</w:t>
            </w:r>
          </w:p>
          <w:p w14:paraId="0184B98D" w14:textId="77777777" w:rsidR="0005206B" w:rsidRDefault="001C7B3F">
            <w:pPr>
              <w:pStyle w:val="Textkrper"/>
              <w:widowControl w:val="0"/>
              <w:spacing w:before="57" w:after="0" w:line="240" w:lineRule="auto"/>
              <w:ind w:left="341" w:hanging="284"/>
              <w:rPr>
                <w:sz w:val="20"/>
              </w:rPr>
            </w:pPr>
            <w:proofErr w:type="spellStart"/>
            <w:r>
              <w:rPr>
                <w:sz w:val="20"/>
              </w:rPr>
              <w:t>mīrāculum</w:t>
            </w:r>
            <w:proofErr w:type="spellEnd"/>
            <w:r>
              <w:rPr>
                <w:sz w:val="20"/>
              </w:rPr>
              <w:t xml:space="preserve">, </w:t>
            </w:r>
            <w:proofErr w:type="spellStart"/>
            <w:proofErr w:type="gramStart"/>
            <w:r>
              <w:rPr>
                <w:sz w:val="20"/>
              </w:rPr>
              <w:t>mīrāculī</w:t>
            </w:r>
            <w:proofErr w:type="spellEnd"/>
            <w:r>
              <w:rPr>
                <w:sz w:val="20"/>
              </w:rPr>
              <w:t>,,</w:t>
            </w:r>
            <w:proofErr w:type="gramEnd"/>
            <w:r>
              <w:rPr>
                <w:sz w:val="20"/>
              </w:rPr>
              <w:t xml:space="preserve"> n.: das Wunder</w:t>
            </w:r>
          </w:p>
        </w:tc>
      </w:tr>
      <w:tr w:rsidR="0005206B" w14:paraId="18B00921" w14:textId="77777777">
        <w:trPr>
          <w:cantSplit/>
        </w:trPr>
        <w:tc>
          <w:tcPr>
            <w:tcW w:w="5673" w:type="dxa"/>
            <w:tcBorders>
              <w:left w:val="single" w:sz="4" w:space="0" w:color="000000"/>
              <w:bottom w:val="single" w:sz="4" w:space="0" w:color="000000"/>
            </w:tcBorders>
          </w:tcPr>
          <w:p w14:paraId="2DBD0BD8" w14:textId="77777777" w:rsidR="0005206B" w:rsidRDefault="001C7B3F">
            <w:pPr>
              <w:widowControl w:val="0"/>
              <w:spacing w:line="336" w:lineRule="auto"/>
              <w:rPr>
                <w:rFonts w:ascii="Arial" w:hAnsi="Arial" w:cs="Arial"/>
                <w:lang w:val="la"/>
              </w:rPr>
            </w:pPr>
            <w:r>
              <w:rPr>
                <w:rFonts w:ascii="Arial" w:hAnsi="Arial" w:cs="Arial"/>
                <w:lang w:val="la"/>
              </w:rPr>
              <w:t>VI.</w:t>
            </w:r>
          </w:p>
          <w:p w14:paraId="487C29BF" w14:textId="77777777" w:rsidR="0005206B" w:rsidRDefault="001C7B3F">
            <w:pPr>
              <w:widowControl w:val="0"/>
              <w:spacing w:line="336" w:lineRule="auto"/>
              <w:rPr>
                <w:rFonts w:ascii="Arial" w:hAnsi="Arial" w:cs="Arial"/>
                <w:lang w:val="la"/>
              </w:rPr>
            </w:pPr>
            <w:r>
              <w:rPr>
                <w:rFonts w:ascii="Arial" w:hAnsi="Arial" w:cs="Arial"/>
                <w:lang w:val="la"/>
              </w:rPr>
              <w:t>Eaque hominum barbarorum credulitas Sertorio in magnis rebus magno usui fuit.</w:t>
            </w:r>
          </w:p>
          <w:p w14:paraId="5E5A5AC7" w14:textId="77777777" w:rsidR="0005206B" w:rsidRDefault="001C7B3F">
            <w:pPr>
              <w:widowControl w:val="0"/>
              <w:spacing w:line="336" w:lineRule="auto"/>
              <w:rPr>
                <w:rFonts w:ascii="Arial" w:hAnsi="Arial" w:cs="Arial"/>
                <w:lang w:val="la"/>
              </w:rPr>
            </w:pPr>
            <w:r>
              <w:rPr>
                <w:rFonts w:ascii="Arial" w:hAnsi="Arial" w:cs="Arial"/>
                <w:lang w:val="la"/>
              </w:rPr>
              <w:t xml:space="preserve">Memoriae proditum est neminem umquam ex his </w:t>
            </w:r>
            <w:r>
              <w:rPr>
                <w:rFonts w:ascii="Arial" w:hAnsi="Arial" w:cs="Arial"/>
                <w:lang w:val="la"/>
              </w:rPr>
              <w:t>nationibus, quae una cum Sertorio contra exercitus Romanos pugnabant, cum multis proeliis superatus esset, ab eo descivisse, quamquam id genus hominum esset mobilissimum.</w:t>
            </w:r>
          </w:p>
        </w:tc>
        <w:tc>
          <w:tcPr>
            <w:tcW w:w="4189" w:type="dxa"/>
            <w:tcBorders>
              <w:left w:val="single" w:sz="4" w:space="0" w:color="000000"/>
              <w:bottom w:val="single" w:sz="4" w:space="0" w:color="000000"/>
              <w:right w:val="single" w:sz="4" w:space="0" w:color="000000"/>
            </w:tcBorders>
          </w:tcPr>
          <w:p w14:paraId="4B596EB1" w14:textId="77777777" w:rsidR="0005206B" w:rsidRDefault="0005206B">
            <w:pPr>
              <w:widowControl w:val="0"/>
              <w:ind w:left="341" w:hanging="284"/>
              <w:rPr>
                <w:sz w:val="20"/>
              </w:rPr>
            </w:pPr>
          </w:p>
          <w:p w14:paraId="40F85371" w14:textId="77777777" w:rsidR="0005206B" w:rsidRDefault="001C7B3F">
            <w:pPr>
              <w:widowControl w:val="0"/>
              <w:spacing w:before="57" w:after="57"/>
              <w:ind w:left="341" w:hanging="284"/>
              <w:rPr>
                <w:sz w:val="20"/>
              </w:rPr>
            </w:pPr>
            <w:proofErr w:type="spellStart"/>
            <w:r>
              <w:rPr>
                <w:sz w:val="20"/>
              </w:rPr>
              <w:t>crēdulitās</w:t>
            </w:r>
            <w:proofErr w:type="spellEnd"/>
            <w:r>
              <w:rPr>
                <w:sz w:val="20"/>
              </w:rPr>
              <w:t xml:space="preserve">, </w:t>
            </w:r>
            <w:proofErr w:type="spellStart"/>
            <w:r>
              <w:rPr>
                <w:sz w:val="20"/>
              </w:rPr>
              <w:t>crēdulitātis</w:t>
            </w:r>
            <w:proofErr w:type="spellEnd"/>
            <w:r>
              <w:rPr>
                <w:sz w:val="20"/>
              </w:rPr>
              <w:t>, f.: die Leichtgläubigkeit</w:t>
            </w:r>
          </w:p>
          <w:p w14:paraId="11A5F969" w14:textId="77777777" w:rsidR="0005206B" w:rsidRDefault="001C7B3F">
            <w:pPr>
              <w:widowControl w:val="0"/>
              <w:spacing w:before="57" w:after="57"/>
              <w:ind w:left="341" w:hanging="284"/>
              <w:rPr>
                <w:sz w:val="20"/>
              </w:rPr>
            </w:pPr>
            <w:proofErr w:type="spellStart"/>
            <w:r>
              <w:rPr>
                <w:sz w:val="20"/>
              </w:rPr>
              <w:t>ūsuī</w:t>
            </w:r>
            <w:proofErr w:type="spellEnd"/>
            <w:r>
              <w:rPr>
                <w:sz w:val="20"/>
              </w:rPr>
              <w:t xml:space="preserve"> esse </w:t>
            </w:r>
            <w:r>
              <w:rPr>
                <w:i/>
                <w:iCs/>
                <w:sz w:val="20"/>
              </w:rPr>
              <w:t>(mit Dativ)</w:t>
            </w:r>
            <w:r>
              <w:rPr>
                <w:sz w:val="20"/>
              </w:rPr>
              <w:t xml:space="preserve">: </w:t>
            </w:r>
            <w:r>
              <w:rPr>
                <w:i/>
                <w:iCs/>
                <w:sz w:val="20"/>
              </w:rPr>
              <w:t>jemandem</w:t>
            </w:r>
            <w:r>
              <w:rPr>
                <w:sz w:val="20"/>
              </w:rPr>
              <w:t xml:space="preserve"> </w:t>
            </w:r>
            <w:r>
              <w:rPr>
                <w:sz w:val="20"/>
              </w:rPr>
              <w:t>nützlich sein</w:t>
            </w:r>
          </w:p>
          <w:p w14:paraId="275DDF14" w14:textId="77777777" w:rsidR="0005206B" w:rsidRDefault="001C7B3F">
            <w:pPr>
              <w:pStyle w:val="Textkrper"/>
              <w:widowControl w:val="0"/>
              <w:spacing w:before="57" w:after="57" w:line="240" w:lineRule="auto"/>
              <w:ind w:left="341" w:hanging="284"/>
              <w:rPr>
                <w:sz w:val="20"/>
              </w:rPr>
            </w:pPr>
            <w:r>
              <w:rPr>
                <w:sz w:val="20"/>
              </w:rPr>
              <w:t xml:space="preserve">memoriae </w:t>
            </w:r>
            <w:proofErr w:type="spellStart"/>
            <w:r>
              <w:rPr>
                <w:sz w:val="20"/>
              </w:rPr>
              <w:t>proditum</w:t>
            </w:r>
            <w:proofErr w:type="spellEnd"/>
            <w:r>
              <w:rPr>
                <w:sz w:val="20"/>
              </w:rPr>
              <w:t xml:space="preserve"> </w:t>
            </w:r>
            <w:proofErr w:type="spellStart"/>
            <w:r>
              <w:rPr>
                <w:sz w:val="20"/>
              </w:rPr>
              <w:t>est</w:t>
            </w:r>
            <w:proofErr w:type="spellEnd"/>
            <w:r>
              <w:rPr>
                <w:sz w:val="20"/>
              </w:rPr>
              <w:t>: es ist überliefert</w:t>
            </w:r>
          </w:p>
          <w:p w14:paraId="5743C301" w14:textId="77777777" w:rsidR="0005206B" w:rsidRDefault="001C7B3F">
            <w:pPr>
              <w:widowControl w:val="0"/>
              <w:spacing w:before="57" w:after="57"/>
              <w:ind w:left="341" w:hanging="284"/>
              <w:rPr>
                <w:sz w:val="20"/>
              </w:rPr>
            </w:pPr>
            <w:proofErr w:type="spellStart"/>
            <w:r>
              <w:rPr>
                <w:sz w:val="20"/>
              </w:rPr>
              <w:t>ūnā</w:t>
            </w:r>
            <w:proofErr w:type="spellEnd"/>
            <w:r>
              <w:rPr>
                <w:sz w:val="20"/>
              </w:rPr>
              <w:t xml:space="preserve"> cum: zusammen mit</w:t>
            </w:r>
          </w:p>
          <w:p w14:paraId="5D9CD4CE" w14:textId="77777777" w:rsidR="0005206B" w:rsidRDefault="001C7B3F">
            <w:pPr>
              <w:widowControl w:val="0"/>
              <w:spacing w:before="57" w:after="57"/>
              <w:ind w:left="341" w:hanging="284"/>
              <w:rPr>
                <w:sz w:val="20"/>
              </w:rPr>
            </w:pPr>
            <w:proofErr w:type="spellStart"/>
            <w:r>
              <w:rPr>
                <w:sz w:val="20"/>
              </w:rPr>
              <w:t>proelium</w:t>
            </w:r>
            <w:proofErr w:type="spellEnd"/>
            <w:r>
              <w:rPr>
                <w:sz w:val="20"/>
              </w:rPr>
              <w:t>: das Gefecht</w:t>
            </w:r>
          </w:p>
          <w:p w14:paraId="649CBBB3" w14:textId="77777777" w:rsidR="0005206B" w:rsidRDefault="001C7B3F">
            <w:pPr>
              <w:widowControl w:val="0"/>
              <w:spacing w:before="57" w:after="57"/>
              <w:ind w:left="341" w:hanging="284"/>
              <w:rPr>
                <w:sz w:val="20"/>
              </w:rPr>
            </w:pPr>
            <w:proofErr w:type="spellStart"/>
            <w:r>
              <w:rPr>
                <w:sz w:val="20"/>
              </w:rPr>
              <w:t>dēscīscere</w:t>
            </w:r>
            <w:proofErr w:type="spellEnd"/>
            <w:r>
              <w:rPr>
                <w:sz w:val="20"/>
              </w:rPr>
              <w:t xml:space="preserve">, </w:t>
            </w:r>
            <w:proofErr w:type="spellStart"/>
            <w:r>
              <w:rPr>
                <w:sz w:val="20"/>
              </w:rPr>
              <w:t>dēscīscō</w:t>
            </w:r>
            <w:proofErr w:type="spellEnd"/>
            <w:r>
              <w:rPr>
                <w:sz w:val="20"/>
              </w:rPr>
              <w:t xml:space="preserve">, </w:t>
            </w:r>
            <w:proofErr w:type="spellStart"/>
            <w:r>
              <w:rPr>
                <w:sz w:val="20"/>
              </w:rPr>
              <w:t>dēscīvi</w:t>
            </w:r>
            <w:proofErr w:type="spellEnd"/>
            <w:r>
              <w:rPr>
                <w:sz w:val="20"/>
              </w:rPr>
              <w:t xml:space="preserve">, </w:t>
            </w:r>
            <w:proofErr w:type="spellStart"/>
            <w:r>
              <w:rPr>
                <w:sz w:val="20"/>
              </w:rPr>
              <w:t>dēscītum</w:t>
            </w:r>
            <w:proofErr w:type="spellEnd"/>
            <w:r>
              <w:rPr>
                <w:sz w:val="20"/>
              </w:rPr>
              <w:t>: abtrünnig werden</w:t>
            </w:r>
          </w:p>
          <w:p w14:paraId="6BD9AC33" w14:textId="77777777" w:rsidR="0005206B" w:rsidRDefault="001C7B3F">
            <w:pPr>
              <w:widowControl w:val="0"/>
              <w:spacing w:before="57" w:after="57"/>
              <w:ind w:left="341" w:hanging="284"/>
              <w:rPr>
                <w:sz w:val="20"/>
              </w:rPr>
            </w:pPr>
            <w:proofErr w:type="spellStart"/>
            <w:r>
              <w:rPr>
                <w:sz w:val="20"/>
              </w:rPr>
              <w:t>mōbilis</w:t>
            </w:r>
            <w:proofErr w:type="spellEnd"/>
            <w:r>
              <w:rPr>
                <w:sz w:val="20"/>
              </w:rPr>
              <w:t xml:space="preserve">, </w:t>
            </w:r>
            <w:proofErr w:type="spellStart"/>
            <w:r>
              <w:rPr>
                <w:sz w:val="20"/>
              </w:rPr>
              <w:t>mōbile</w:t>
            </w:r>
            <w:proofErr w:type="spellEnd"/>
            <w:r>
              <w:rPr>
                <w:sz w:val="20"/>
              </w:rPr>
              <w:t xml:space="preserve">: wankelmütig </w:t>
            </w:r>
            <w:bookmarkStart w:id="0" w:name="_Hlk93767438"/>
            <w:bookmarkEnd w:id="0"/>
          </w:p>
        </w:tc>
      </w:tr>
    </w:tbl>
    <w:p w14:paraId="345B0058" w14:textId="77777777" w:rsidR="0005206B" w:rsidRDefault="001C7B3F">
      <w:pPr>
        <w:spacing w:before="120"/>
        <w:jc w:val="right"/>
      </w:pPr>
      <w:r>
        <w:t>277 Wörter</w:t>
      </w:r>
    </w:p>
    <w:p w14:paraId="22290324" w14:textId="77777777" w:rsidR="0005206B" w:rsidRDefault="001C7B3F">
      <w:pPr>
        <w:pStyle w:val="berschrift1"/>
        <w:spacing w:before="0"/>
      </w:pPr>
      <w:r>
        <w:t>Aufgaben</w:t>
      </w:r>
    </w:p>
    <w:p w14:paraId="1A6A4762" w14:textId="77777777" w:rsidR="0005206B" w:rsidRDefault="001C7B3F">
      <w:pPr>
        <w:pStyle w:val="Textkrper"/>
        <w:numPr>
          <w:ilvl w:val="0"/>
          <w:numId w:val="2"/>
        </w:numPr>
        <w:spacing w:before="57" w:after="113" w:line="360" w:lineRule="auto"/>
      </w:pPr>
      <w:r>
        <w:t xml:space="preserve">Aufgabe zur Gliederung: Gliedere diese Geschichte, indem du für jeden Abschnitt eine kurze Überschrift formulierst. Weitere Möglichkeiten der Gliederung findest du im Arbeitsblatt </w:t>
      </w:r>
      <w:hyperlink r:id="rId8" w:tgtFrame="_blank">
        <w:r w:rsidRPr="00274174">
          <w:rPr>
            <w:rStyle w:val="Hyperlink"/>
            <w:rFonts w:eastAsia="Times New Roman" w:cs="Liberation Serif"/>
            <w:kern w:val="0"/>
            <w:lang w:eastAsia="de-DE" w:bidi="ar-SA"/>
          </w:rPr>
          <w:t>Texte gliedern und Strukturen erkennen</w:t>
        </w:r>
      </w:hyperlink>
      <w:r>
        <w:t xml:space="preserve">. </w:t>
      </w:r>
    </w:p>
    <w:p w14:paraId="636E2A58" w14:textId="77777777" w:rsidR="008B2B9F" w:rsidRDefault="008B2B9F" w:rsidP="008B2B9F">
      <w:pPr>
        <w:pStyle w:val="StandardWeb"/>
        <w:numPr>
          <w:ilvl w:val="0"/>
          <w:numId w:val="2"/>
        </w:numPr>
        <w:spacing w:before="57" w:beforeAutospacing="0" w:after="113" w:line="360" w:lineRule="auto"/>
      </w:pPr>
      <w:r>
        <w:t xml:space="preserve">Aufgaben zu den Stilmitteln: Die Absätze 1 bis 3 enthalten diese Stilmittel: Chiasmus, Polysyndeton und Parallelismus. Suche </w:t>
      </w:r>
      <w:r>
        <w:rPr>
          <w:rFonts w:ascii="Liberation Serif" w:hAnsi="Liberation Serif" w:cs="Liberation Serif"/>
        </w:rPr>
        <w:t xml:space="preserve">mithilfe der </w:t>
      </w:r>
      <w:hyperlink r:id="rId9" w:tgtFrame="_blank" w:history="1">
        <w:r>
          <w:rPr>
            <w:rStyle w:val="Hyperlink"/>
            <w:rFonts w:ascii="Liberation Serif" w:hAnsi="Liberation Serif" w:cs="Liberation Serif"/>
          </w:rPr>
          <w:t>Liste der Stilmittel</w:t>
        </w:r>
      </w:hyperlink>
      <w:r>
        <w:rPr>
          <w:rFonts w:ascii="Liberation Serif" w:hAnsi="Liberation Serif" w:cs="Liberation Serif"/>
        </w:rPr>
        <w:t xml:space="preserve"> diese Stilmittel im lateinischen Text heraus.</w:t>
      </w:r>
    </w:p>
    <w:p w14:paraId="34B94299" w14:textId="77777777" w:rsidR="0005206B" w:rsidRDefault="001C7B3F">
      <w:pPr>
        <w:pStyle w:val="Textkrper"/>
        <w:numPr>
          <w:ilvl w:val="0"/>
          <w:numId w:val="2"/>
        </w:numPr>
        <w:spacing w:before="57" w:after="113" w:line="360" w:lineRule="auto"/>
      </w:pPr>
      <w:r>
        <w:t>Aufgabe zur Charakterisierung der Figuren.</w:t>
      </w:r>
      <w:r>
        <w:br/>
      </w:r>
      <w:proofErr w:type="gramStart"/>
      <w:r>
        <w:t>Unterscheide</w:t>
      </w:r>
      <w:proofErr w:type="gramEnd"/>
      <w:r>
        <w:t xml:space="preserve"> bei diesen Aufgaben die </w:t>
      </w:r>
      <w:r>
        <w:rPr>
          <w:rStyle w:val="Starkbetont"/>
        </w:rPr>
        <w:t>direkte Charakterisierung</w:t>
      </w:r>
      <w:r>
        <w:t xml:space="preserve"> von der </w:t>
      </w:r>
      <w:r>
        <w:rPr>
          <w:rStyle w:val="Starkbetont"/>
        </w:rPr>
        <w:t>indirekten Charakteris</w:t>
      </w:r>
      <w:r>
        <w:rPr>
          <w:rStyle w:val="Starkbetont"/>
        </w:rPr>
        <w:t xml:space="preserve">ierung. </w:t>
      </w:r>
      <w:r>
        <w:t xml:space="preserve">Verwende für diese Aufgabe das </w:t>
      </w:r>
      <w:hyperlink r:id="rId10" w:tgtFrame="_blank">
        <w:r w:rsidRPr="00274174">
          <w:rPr>
            <w:rStyle w:val="Hyperlink"/>
            <w:rFonts w:eastAsia="Times New Roman" w:cs="Liberation Serif"/>
            <w:kern w:val="0"/>
            <w:lang w:eastAsia="de-DE" w:bidi="ar-SA"/>
          </w:rPr>
          <w:t xml:space="preserve">Arbeitsblatt </w:t>
        </w:r>
      </w:hyperlink>
      <w:hyperlink r:id="rId11" w:tgtFrame="_blank">
        <w:r w:rsidRPr="00274174">
          <w:rPr>
            <w:rStyle w:val="Hyperlink"/>
            <w:rFonts w:eastAsia="Times New Roman" w:cs="Liberation Serif"/>
            <w:kern w:val="0"/>
            <w:lang w:eastAsia="de-DE" w:bidi="ar-SA"/>
          </w:rPr>
          <w:t>Direkte und indirekte</w:t>
        </w:r>
      </w:hyperlink>
      <w:hyperlink r:id="rId12" w:tgtFrame="_blank">
        <w:r w:rsidRPr="00274174">
          <w:rPr>
            <w:rStyle w:val="Hyperlink"/>
            <w:rFonts w:eastAsia="Times New Roman" w:cs="Liberation Serif"/>
            <w:kern w:val="0"/>
            <w:lang w:eastAsia="de-DE" w:bidi="ar-SA"/>
          </w:rPr>
          <w:t xml:space="preserve"> </w:t>
        </w:r>
      </w:hyperlink>
      <w:hyperlink r:id="rId13" w:tgtFrame="_blank">
        <w:r w:rsidRPr="00274174">
          <w:rPr>
            <w:rStyle w:val="Hyperlink"/>
            <w:rFonts w:eastAsia="Times New Roman" w:cs="Liberation Serif"/>
            <w:kern w:val="0"/>
            <w:lang w:eastAsia="de-DE" w:bidi="ar-SA"/>
          </w:rPr>
          <w:t>Charakterisierung</w:t>
        </w:r>
      </w:hyperlink>
      <w:r>
        <w:rPr>
          <w:i/>
          <w:iCs/>
        </w:rPr>
        <w:t>.</w:t>
      </w:r>
    </w:p>
    <w:p w14:paraId="423CB9EE" w14:textId="77777777" w:rsidR="0005206B" w:rsidRDefault="001C7B3F">
      <w:pPr>
        <w:pStyle w:val="Textkrper"/>
        <w:numPr>
          <w:ilvl w:val="1"/>
          <w:numId w:val="2"/>
        </w:numPr>
        <w:spacing w:before="57" w:after="113" w:line="360" w:lineRule="auto"/>
      </w:pPr>
      <w:r>
        <w:lastRenderedPageBreak/>
        <w:t xml:space="preserve">Untersuche, wie Sertorius in dieser Geschichte vom Erzähler charakterisiert wird. </w:t>
      </w:r>
    </w:p>
    <w:p w14:paraId="2EB5AAD7" w14:textId="220A8ED7" w:rsidR="0005206B" w:rsidRDefault="001C7B3F">
      <w:pPr>
        <w:pStyle w:val="Textkrper"/>
        <w:numPr>
          <w:ilvl w:val="1"/>
          <w:numId w:val="2"/>
        </w:numPr>
        <w:spacing w:before="57" w:after="113" w:line="360" w:lineRule="auto"/>
      </w:pPr>
      <w:r>
        <w:t xml:space="preserve">Am Ende der Geschichte geht der Erzähler auf die </w:t>
      </w:r>
      <w:proofErr w:type="spellStart"/>
      <w:r>
        <w:rPr>
          <w:rStyle w:val="Betont"/>
        </w:rPr>
        <w:t>barbari</w:t>
      </w:r>
      <w:proofErr w:type="spellEnd"/>
      <w:r>
        <w:rPr>
          <w:rStyle w:val="Betont"/>
        </w:rPr>
        <w:t xml:space="preserve"> </w:t>
      </w:r>
      <w:proofErr w:type="spellStart"/>
      <w:r>
        <w:rPr>
          <w:rStyle w:val="Betont"/>
        </w:rPr>
        <w:t>homines</w:t>
      </w:r>
      <w:proofErr w:type="spellEnd"/>
      <w:r>
        <w:t xml:space="preserve"> </w:t>
      </w:r>
      <w:r w:rsidR="009C5AFC">
        <w:t>ein.</w:t>
      </w:r>
      <w:r w:rsidR="009C5AFC">
        <w:br/>
      </w:r>
      <w:r>
        <w:t>Untersuche auch hier, wie</w:t>
      </w:r>
      <w:r>
        <w:t xml:space="preserve"> diese Menschen charakterisiert werden. Überprüfe (und diskutiere) hierzu diese Interpretationsthese: </w:t>
      </w:r>
      <w:r>
        <w:br/>
        <w:t xml:space="preserve">„Der Erzähler ist negativ gegenüber den </w:t>
      </w:r>
      <w:proofErr w:type="spellStart"/>
      <w:r>
        <w:rPr>
          <w:rStyle w:val="Betont"/>
        </w:rPr>
        <w:t>barbari</w:t>
      </w:r>
      <w:proofErr w:type="spellEnd"/>
      <w:r>
        <w:t xml:space="preserve"> eingestellt und hält sie in verallgemeinernder Weise für geistig minderwertig. Damit zeigt er das Vorurte</w:t>
      </w:r>
      <w:r>
        <w:t xml:space="preserve">il vieler gebildeter Römer gegenüber den Menschen aus den unterworfenen Gebieten.“ </w:t>
      </w:r>
    </w:p>
    <w:p w14:paraId="0A67C99C" w14:textId="77777777" w:rsidR="0005206B" w:rsidRDefault="0005206B">
      <w:pPr>
        <w:pStyle w:val="HorizontaleLinie"/>
        <w:spacing w:before="57" w:after="113"/>
      </w:pPr>
    </w:p>
    <w:p w14:paraId="4AAE0E6F" w14:textId="77777777" w:rsidR="0005206B" w:rsidRDefault="001C7B3F">
      <w:pPr>
        <w:pStyle w:val="Textkrper"/>
      </w:pPr>
      <w:r>
        <w:t xml:space="preserve">URL dieses Arbeitsblatts (mit Links zu ergänzenden Dokumenten): </w:t>
      </w:r>
    </w:p>
    <w:p w14:paraId="126C8AF9" w14:textId="77777777" w:rsidR="0005206B" w:rsidRDefault="001C7B3F">
      <w:pPr>
        <w:pStyle w:val="Textkrper"/>
        <w:jc w:val="both"/>
      </w:pPr>
      <w:hyperlink r:id="rId14">
        <w:r>
          <w:rPr>
            <w:rStyle w:val="Internetverknpfung"/>
          </w:rPr>
          <w:t>www.schule-bw.de/faecher-und-schularten/sprachen-und-literatur/latein/texte-und-medien/sprueche-anekdoten/aulus-gellius/gellius-noctes-atticae-15-22-sert</w:t>
        </w:r>
        <w:r>
          <w:rPr>
            <w:rStyle w:val="Internetverknpfung"/>
          </w:rPr>
          <w:t>orius-hirschkuh-einfach.html</w:t>
        </w:r>
      </w:hyperlink>
      <w:r>
        <w:rPr>
          <w:rStyle w:val="Hyperlink"/>
          <w:color w:val="000080"/>
          <w:lang/>
        </w:rPr>
        <w:t xml:space="preserve"> </w:t>
      </w:r>
    </w:p>
    <w:sectPr w:rsidR="0005206B">
      <w:headerReference w:type="even" r:id="rId15"/>
      <w:headerReference w:type="default" r:id="rId16"/>
      <w:footerReference w:type="even" r:id="rId17"/>
      <w:footerReference w:type="default" r:id="rId18"/>
      <w:headerReference w:type="first" r:id="rId19"/>
      <w:footerReference w:type="first" r:id="rId20"/>
      <w:pgSz w:w="11906" w:h="16838"/>
      <w:pgMar w:top="1579" w:right="1020" w:bottom="2412" w:left="1020" w:header="1020" w:footer="102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0CCB" w14:textId="77777777" w:rsidR="001C7B3F" w:rsidRDefault="001C7B3F">
      <w:r>
        <w:separator/>
      </w:r>
    </w:p>
  </w:endnote>
  <w:endnote w:type="continuationSeparator" w:id="0">
    <w:p w14:paraId="75F849CB" w14:textId="77777777" w:rsidR="001C7B3F" w:rsidRDefault="001C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08BA" w14:textId="77777777" w:rsidR="00282657" w:rsidRDefault="002826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F309" w14:textId="77777777" w:rsidR="0005206B" w:rsidRDefault="001C7B3F">
    <w:pPr>
      <w:pStyle w:val="Fuzeile"/>
      <w:widowControl w:val="0"/>
      <w:pBdr>
        <w:top w:val="single" w:sz="12" w:space="1" w:color="000000"/>
      </w:pBdr>
    </w:pPr>
    <w:r>
      <w:rPr>
        <w:sz w:val="18"/>
        <w:szCs w:val="18"/>
      </w:rPr>
      <w:t xml:space="preserve">Diese Materialien sind unter der OER-konformen Lizenz </w:t>
    </w:r>
    <w:hyperlink r:id="rId1" w:tgtFrame="_top">
      <w:r>
        <w:rPr>
          <w:rStyle w:val="Internetverknpfung"/>
          <w:sz w:val="18"/>
          <w:szCs w:val="18"/>
        </w:rPr>
        <w:t>CC BY 4.0 International</w:t>
      </w:r>
    </w:hyperlink>
    <w:r>
      <w:rPr>
        <w:sz w:val="18"/>
        <w:szCs w:val="18"/>
      </w:rPr>
      <w:t xml:space="preserve"> verfügbar. Herausgeber: Landesbildungsserver Baden-Württemberg (</w:t>
    </w:r>
    <w:hyperlink r:id="rId2" w:tgtFrame="_top">
      <w:r>
        <w:rPr>
          <w:rStyle w:val="Internetverknpfung"/>
          <w:sz w:val="18"/>
          <w:szCs w:val="18"/>
        </w:rPr>
        <w:t>www.schule-bw.de</w:t>
      </w:r>
    </w:hyperlink>
    <w:r>
      <w:rPr>
        <w:sz w:val="18"/>
        <w:szCs w:val="18"/>
      </w:rPr>
      <w:t>), Fachredaktion</w:t>
    </w:r>
    <w:r>
      <w:rPr>
        <w:sz w:val="18"/>
        <w:szCs w:val="18"/>
      </w:rPr>
      <w:t xml:space="preserve"> Latein (auch unter </w:t>
    </w:r>
    <w:hyperlink r:id="rId3">
      <w:r>
        <w:rPr>
          <w:rStyle w:val="Internetverknpfung"/>
          <w:sz w:val="18"/>
          <w:szCs w:val="18"/>
        </w:rPr>
        <w:t>www.latein-bw.de</w:t>
      </w:r>
    </w:hyperlink>
    <w:r>
      <w:rPr>
        <w:sz w:val="18"/>
        <w:szCs w:val="18"/>
      </w:rPr>
      <w:t xml:space="preserve"> zu erreichen). Urheberrechtsangaben gemäß </w:t>
    </w:r>
    <w:hyperlink r:id="rId4" w:tgtFrame="_top">
      <w:r>
        <w:rPr>
          <w:rStyle w:val="Internetverknpfung"/>
          <w:sz w:val="18"/>
          <w:szCs w:val="18"/>
        </w:rPr>
        <w:t>www.schule-bw.de/urheberrecht</w:t>
      </w:r>
    </w:hyperlink>
    <w:r>
      <w:rPr>
        <w:sz w:val="18"/>
        <w:szCs w:val="18"/>
      </w:rPr>
      <w:t xml:space="preserve"> sind zu beachten. Bitte beachten Sie eventuell abweichende Lizenzangaben bei den eingebundenen Bildern und anderen Materialien.</w:t>
    </w:r>
  </w:p>
  <w:p w14:paraId="0E1B978F" w14:textId="77777777" w:rsidR="0005206B" w:rsidRDefault="001C7B3F">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PAGE \* ARABIC</w:instrText>
    </w:r>
    <w:r>
      <w:rPr>
        <w:sz w:val="20"/>
        <w:szCs w:val="16"/>
      </w:rPr>
      <w:fldChar w:fldCharType="separate"/>
    </w:r>
    <w:r>
      <w:rPr>
        <w:sz w:val="20"/>
        <w:szCs w:val="16"/>
      </w:rPr>
      <w:t>4</w:t>
    </w:r>
    <w:r>
      <w:rPr>
        <w:sz w:val="20"/>
        <w:szCs w:val="16"/>
      </w:rPr>
      <w:fldChar w:fldCharType="end"/>
    </w:r>
    <w:r>
      <w:rPr>
        <w:sz w:val="20"/>
        <w:szCs w:val="16"/>
      </w:rPr>
      <w:t xml:space="preserve"> von </w:t>
    </w:r>
    <w:r>
      <w:rPr>
        <w:sz w:val="20"/>
        <w:szCs w:val="16"/>
      </w:rPr>
      <w:fldChar w:fldCharType="begin"/>
    </w:r>
    <w:r>
      <w:rPr>
        <w:sz w:val="20"/>
        <w:szCs w:val="16"/>
      </w:rPr>
      <w:instrText>NUMPAGES \* ARABIC</w:instrText>
    </w:r>
    <w:r>
      <w:rPr>
        <w:sz w:val="20"/>
        <w:szCs w:val="16"/>
      </w:rPr>
      <w:fldChar w:fldCharType="separate"/>
    </w:r>
    <w:r>
      <w:rPr>
        <w:sz w:val="20"/>
        <w:szCs w:val="16"/>
      </w:rPr>
      <w:t>4</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FF99" w14:textId="77777777" w:rsidR="00282657" w:rsidRDefault="002826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DA21" w14:textId="77777777" w:rsidR="001C7B3F" w:rsidRDefault="001C7B3F">
      <w:r>
        <w:separator/>
      </w:r>
    </w:p>
  </w:footnote>
  <w:footnote w:type="continuationSeparator" w:id="0">
    <w:p w14:paraId="035684FA" w14:textId="77777777" w:rsidR="001C7B3F" w:rsidRDefault="001C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49D8" w14:textId="77777777" w:rsidR="00282657" w:rsidRDefault="002826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F58B" w14:textId="77777777" w:rsidR="0005206B" w:rsidRDefault="001C7B3F" w:rsidP="00282657">
    <w:pPr>
      <w:pStyle w:val="Kopfzeile"/>
      <w:spacing w:after="360"/>
    </w:pPr>
    <w:r>
      <w:rPr>
        <w:noProof/>
      </w:rPr>
      <w:drawing>
        <wp:anchor distT="0" distB="0" distL="0" distR="0" simplePos="0" relativeHeight="5" behindDoc="1" locked="0" layoutInCell="0" allowOverlap="1" wp14:anchorId="19579DD6" wp14:editId="514EE392">
          <wp:simplePos x="0" y="0"/>
          <wp:positionH relativeFrom="column">
            <wp:posOffset>2874010</wp:posOffset>
          </wp:positionH>
          <wp:positionV relativeFrom="paragraph">
            <wp:posOffset>-318135</wp:posOffset>
          </wp:positionV>
          <wp:extent cx="396240" cy="554355"/>
          <wp:effectExtent l="0" t="0" r="0" b="0"/>
          <wp:wrapNone/>
          <wp:docPr id="1"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pic:cNvPicPr>
                    <a:picLocks noChangeAspect="1" noChangeArrowheads="1"/>
                  </pic:cNvPicPr>
                </pic:nvPicPr>
                <pic:blipFill>
                  <a:blip r:embed="rId1"/>
                  <a:stretch>
                    <a:fillRect/>
                  </a:stretch>
                </pic:blipFill>
                <pic:spPr bwMode="auto">
                  <a:xfrm>
                    <a:off x="0" y="0"/>
                    <a:ext cx="396240" cy="554355"/>
                  </a:xfrm>
                  <a:prstGeom prst="rect">
                    <a:avLst/>
                  </a:prstGeom>
                </pic:spPr>
              </pic:pic>
            </a:graphicData>
          </a:graphic>
        </wp:anchor>
      </w:drawing>
    </w:r>
    <w:r>
      <w:rPr>
        <w:noProof/>
      </w:rPr>
      <w:drawing>
        <wp:anchor distT="0" distB="0" distL="0" distR="0" simplePos="0" relativeHeight="9" behindDoc="0" locked="0" layoutInCell="0" allowOverlap="1" wp14:anchorId="5A7D4728" wp14:editId="131FB1AF">
          <wp:simplePos x="0" y="0"/>
          <wp:positionH relativeFrom="column">
            <wp:posOffset>4551680</wp:posOffset>
          </wp:positionH>
          <wp:positionV relativeFrom="paragraph">
            <wp:posOffset>-329565</wp:posOffset>
          </wp:positionV>
          <wp:extent cx="1634490" cy="570230"/>
          <wp:effectExtent l="0" t="0" r="0" b="0"/>
          <wp:wrapSquare wrapText="bothSides"/>
          <wp:docPr id="2"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4"/>
                  <pic:cNvPicPr>
                    <a:picLocks noChangeAspect="1" noChangeArrowheads="1"/>
                  </pic:cNvPicPr>
                </pic:nvPicPr>
                <pic:blipFill>
                  <a:blip r:embed="rId2"/>
                  <a:srcRect l="6218" t="13902" r="6410" b="13902"/>
                  <a:stretch>
                    <a:fillRect/>
                  </a:stretch>
                </pic:blipFill>
                <pic:spPr bwMode="auto">
                  <a:xfrm>
                    <a:off x="0" y="0"/>
                    <a:ext cx="1634490" cy="570230"/>
                  </a:xfrm>
                  <a:prstGeom prst="rect">
                    <a:avLst/>
                  </a:prstGeom>
                </pic:spPr>
              </pic:pic>
            </a:graphicData>
          </a:graphic>
        </wp:anchor>
      </w:drawing>
    </w:r>
    <w:r>
      <w:rPr>
        <w:noProof/>
      </w:rPr>
      <w:drawing>
        <wp:anchor distT="0" distB="0" distL="0" distR="0" simplePos="0" relativeHeight="13" behindDoc="0" locked="0" layoutInCell="0" allowOverlap="1" wp14:anchorId="41F04C7C" wp14:editId="3AB2F695">
          <wp:simplePos x="0" y="0"/>
          <wp:positionH relativeFrom="column">
            <wp:posOffset>-50800</wp:posOffset>
          </wp:positionH>
          <wp:positionV relativeFrom="paragraph">
            <wp:posOffset>-360680</wp:posOffset>
          </wp:positionV>
          <wp:extent cx="1923415" cy="622300"/>
          <wp:effectExtent l="0" t="0" r="0" b="0"/>
          <wp:wrapSquare wrapText="largest"/>
          <wp:docPr id="3"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pic:cNvPicPr>
                    <a:picLocks noChangeAspect="1" noChangeArrowheads="1"/>
                  </pic:cNvPicPr>
                </pic:nvPicPr>
                <pic:blipFill>
                  <a:blip r:embed="rId3"/>
                  <a:stretch>
                    <a:fillRect/>
                  </a:stretch>
                </pic:blipFill>
                <pic:spPr bwMode="auto">
                  <a:xfrm>
                    <a:off x="0" y="0"/>
                    <a:ext cx="1923415" cy="622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4F1B" w14:textId="77777777" w:rsidR="00282657" w:rsidRDefault="002826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EB0"/>
    <w:multiLevelType w:val="multilevel"/>
    <w:tmpl w:val="E7ECEF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D3419D7"/>
    <w:multiLevelType w:val="multilevel"/>
    <w:tmpl w:val="EE68C2C8"/>
    <w:lvl w:ilvl="0">
      <w:start w:val="1"/>
      <w:numFmt w:val="decimal"/>
      <w:lvlText w:val="%1."/>
      <w:lvlJc w:val="left"/>
      <w:pPr>
        <w:tabs>
          <w:tab w:val="num" w:pos="0"/>
        </w:tabs>
        <w:ind w:left="720" w:hanging="360"/>
      </w:pPr>
    </w:lvl>
    <w:lvl w:ilvl="1">
      <w:start w:val="1"/>
      <w:numFmt w:val="lowerLetter"/>
      <w:suff w:val="space"/>
      <w:lvlText w:val="(%1.%2)"/>
      <w:lvlJc w:val="left"/>
      <w:pPr>
        <w:tabs>
          <w:tab w:val="num" w:pos="0"/>
        </w:tabs>
        <w:ind w:left="1440" w:hanging="357"/>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7AA908E5"/>
    <w:multiLevelType w:val="multilevel"/>
    <w:tmpl w:val="D1648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6B"/>
    <w:rsid w:val="0005206B"/>
    <w:rsid w:val="000E3A0C"/>
    <w:rsid w:val="001C7B3F"/>
    <w:rsid w:val="00274174"/>
    <w:rsid w:val="00282657"/>
    <w:rsid w:val="004A59EC"/>
    <w:rsid w:val="008B2B9F"/>
    <w:rsid w:val="009A4C0B"/>
    <w:rsid w:val="009C5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4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berschrift"/>
    <w:next w:val="Textkrper"/>
    <w:uiPriority w:val="9"/>
    <w:qFormat/>
    <w:pPr>
      <w:outlineLvl w:val="0"/>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qFormat/>
    <w:rPr>
      <w:color w:val="0000FF"/>
      <w:u w:val="single"/>
    </w:rPr>
  </w:style>
  <w:style w:type="character" w:customStyle="1" w:styleId="Internetverknpfung">
    <w:name w:val="Internetverknüpfung"/>
    <w:rPr>
      <w:color w:val="000080"/>
      <w:u w:val="single"/>
      <w:lang/>
    </w:rPr>
  </w:style>
  <w:style w:type="character" w:customStyle="1" w:styleId="BesuchteInternetverknpfung">
    <w:name w:val="Besuchte Internetverknüpfung"/>
    <w:rPr>
      <w:color w:val="800000"/>
      <w:u w:val="single"/>
    </w:rPr>
  </w:style>
  <w:style w:type="character" w:styleId="Funotenzeichen">
    <w:name w:val="footnote reference"/>
    <w:qFormat/>
  </w:style>
  <w:style w:type="character" w:customStyle="1" w:styleId="Funotenanker">
    <w:name w:val="Fußnotenanker"/>
    <w:rPr>
      <w:vertAlign w:val="superscript"/>
    </w:rPr>
  </w:style>
  <w:style w:type="character" w:customStyle="1" w:styleId="Nummerierungszeichen">
    <w:name w:val="Nummerierungszeichen"/>
    <w:qFormat/>
  </w:style>
  <w:style w:type="character" w:customStyle="1" w:styleId="Starkbetont">
    <w:name w:val="Stark betont"/>
    <w:qFormat/>
    <w:rPr>
      <w:b/>
      <w:bCs/>
    </w:rPr>
  </w:style>
  <w:style w:type="character" w:customStyle="1" w:styleId="Betont">
    <w:name w:val="Betont"/>
    <w:qFormat/>
    <w:rPr>
      <w:i/>
      <w:iCs/>
    </w:rPr>
  </w:style>
  <w:style w:type="character" w:customStyle="1" w:styleId="showbody">
    <w:name w:val="showbody"/>
    <w:basedOn w:val="Absatz-Standardschriftart"/>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Titel">
    <w:name w:val="Title"/>
    <w:basedOn w:val="berschrift"/>
    <w:next w:val="Textkrper"/>
    <w:uiPriority w:val="10"/>
    <w:qFormat/>
    <w:pPr>
      <w:jc w:val="center"/>
    </w:pPr>
    <w:rPr>
      <w:b/>
      <w:bCs/>
      <w:sz w:val="56"/>
      <w:szCs w:val="56"/>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Kopf-undFuzeile"/>
  </w:style>
  <w:style w:type="paragraph" w:styleId="Fuzeile">
    <w:name w:val="footer"/>
    <w:basedOn w:val="Kopf-undFuzeile"/>
  </w:style>
  <w:style w:type="paragraph" w:customStyle="1" w:styleId="Tabelleninhalt">
    <w:name w:val="Tabelleninhalt"/>
    <w:basedOn w:val="Standard"/>
    <w:qFormat/>
    <w:pPr>
      <w:widowControl w:val="0"/>
      <w:suppressLineNumbers/>
    </w:pPr>
  </w:style>
  <w:style w:type="paragraph" w:customStyle="1" w:styleId="NormaleTabelle1">
    <w:name w:val="Normale Tabelle1"/>
    <w:qFormat/>
    <w:pPr>
      <w:spacing w:line="360" w:lineRule="auto"/>
    </w:pPr>
    <w:rPr>
      <w:rFonts w:ascii="Calibri" w:eastAsia="Calibri" w:hAnsi="Calibri" w:cs="Times New Roman"/>
      <w:sz w:val="22"/>
      <w:szCs w:val="22"/>
      <w:lang w:eastAsia="en-US" w:bidi="ar-SA"/>
    </w:rPr>
  </w:style>
  <w:style w:type="paragraph" w:customStyle="1" w:styleId="Tabellenraster1">
    <w:name w:val="Tabellenraster1"/>
    <w:basedOn w:val="NormaleTabelle1"/>
    <w:qFormat/>
    <w:pPr>
      <w:spacing w:line="240" w:lineRule="auto"/>
    </w:pPr>
  </w:style>
  <w:style w:type="paragraph" w:customStyle="1" w:styleId="TextErlaeuterung">
    <w:name w:val="Text Erlaeuterung"/>
    <w:basedOn w:val="Textkrper"/>
    <w:qFormat/>
    <w:pPr>
      <w:spacing w:line="340" w:lineRule="atLeast"/>
    </w:pPr>
    <w:rPr>
      <w:rFonts w:ascii="Arial" w:hAnsi="Arial"/>
      <w:sz w:val="22"/>
      <w:szCs w:val="22"/>
    </w:rPr>
  </w:style>
  <w:style w:type="paragraph" w:customStyle="1" w:styleId="Vokabelangabe">
    <w:name w:val="Vokabelangabe"/>
    <w:basedOn w:val="Standard"/>
    <w:autoRedefine/>
    <w:qFormat/>
    <w:pPr>
      <w:ind w:left="284" w:hanging="284"/>
    </w:pPr>
    <w:rPr>
      <w:sz w:val="20"/>
      <w:szCs w:val="20"/>
    </w:rPr>
  </w:style>
  <w:style w:type="paragraph" w:styleId="Funotentext">
    <w:name w:val="footnote text"/>
    <w:basedOn w:val="Standard"/>
    <w:pPr>
      <w:suppressLineNumbers/>
      <w:ind w:left="339" w:hanging="339"/>
    </w:pPr>
    <w:rPr>
      <w:sz w:val="20"/>
      <w:szCs w:val="20"/>
    </w:rPr>
  </w:style>
  <w:style w:type="paragraph" w:customStyle="1" w:styleId="Vokabelangabe-lbs">
    <w:name w:val="Vokabelangabe-lbs"/>
    <w:basedOn w:val="Standard"/>
    <w:qFormat/>
    <w:pPr>
      <w:suppressAutoHyphens w:val="0"/>
      <w:spacing w:line="312" w:lineRule="auto"/>
      <w:ind w:left="284" w:hanging="284"/>
    </w:pPr>
    <w:rPr>
      <w:rFonts w:eastAsia="Calibri" w:cs="Arial"/>
      <w:sz w:val="20"/>
      <w:szCs w:val="22"/>
      <w:lang w:eastAsia="en-US"/>
    </w:rPr>
  </w:style>
  <w:style w:type="paragraph" w:styleId="Listenabsatz">
    <w:name w:val="List Paragraph"/>
    <w:basedOn w:val="Standard"/>
    <w:qFormat/>
    <w:pPr>
      <w:ind w:left="720"/>
    </w:pPr>
    <w:rPr>
      <w:sz w:val="20"/>
    </w:rPr>
  </w:style>
  <w:style w:type="paragraph" w:customStyle="1" w:styleId="HorizontaleLinie">
    <w:name w:val="Horizontale Linie"/>
    <w:basedOn w:val="Standard"/>
    <w:next w:val="Textkrper"/>
    <w:qFormat/>
    <w:pPr>
      <w:suppressLineNumbers/>
      <w:pBdr>
        <w:bottom w:val="double" w:sz="2" w:space="0" w:color="808080"/>
      </w:pBdr>
      <w:spacing w:after="283"/>
    </w:pPr>
    <w:rPr>
      <w:sz w:val="12"/>
      <w:szCs w:val="12"/>
    </w:rPr>
  </w:style>
  <w:style w:type="paragraph" w:styleId="StandardWeb">
    <w:name w:val="Normal (Web)"/>
    <w:basedOn w:val="Standard"/>
    <w:uiPriority w:val="99"/>
    <w:semiHidden/>
    <w:unhideWhenUsed/>
    <w:rsid w:val="008B2B9F"/>
    <w:pPr>
      <w:suppressAutoHyphens w:val="0"/>
      <w:spacing w:before="100" w:beforeAutospacing="1" w:after="142" w:line="276" w:lineRule="auto"/>
    </w:pPr>
    <w:rPr>
      <w:rFonts w:ascii="Times New Roman" w:eastAsia="Times New Roman" w:hAnsi="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8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resolveuid/4c378ce0bba7483999aff799ca5ab609" TargetMode="External"/><Relationship Id="rId13" Type="http://schemas.openxmlformats.org/officeDocument/2006/relationships/hyperlink" Target="https://www.schule-bw.de/resolveuid/59797580181a470bb580ca3e550d1b6b"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hule-bw.de/faecher-und-schularten/sprachen-und-literatur/latein/antike-kultur/roemische-geschichte/daten/roemische-geschichte-tabelle.html" TargetMode="External"/><Relationship Id="rId12" Type="http://schemas.openxmlformats.org/officeDocument/2006/relationships/hyperlink" Target="https://www.schule-bw.de/resolveuid/59797580181a470bb580ca3e550d1b6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resolveuid/59797580181a470bb580ca3e550d1b6b"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hule-bw.de/resolveuid/59797580181a470bb580ca3e550d1b6b"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hule-bw.de/resolveuid/a0a056e0b9ae4eb0aea3f35933583ad7" TargetMode="External"/><Relationship Id="rId14" Type="http://schemas.openxmlformats.org/officeDocument/2006/relationships/hyperlink" Target="https://www.schule-bw.de/faecher-und-schularten/sprachen-und-literatur/latein/texte-und-medien/sprueche-anekdoten/aulus-gellius/gellius-noctes-atticae-15-22-sertorius-hirschkuh-einfach.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Aulus Gellius: Sertorius</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Aulus Gellius: Sertorius</dc:title>
  <dc:creator/>
  <cp:lastModifiedBy/>
  <cp:revision>1</cp:revision>
  <dcterms:created xsi:type="dcterms:W3CDTF">2022-03-30T20:49:00Z</dcterms:created>
  <dcterms:modified xsi:type="dcterms:W3CDTF">2022-03-30T20:56:00Z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2022-02-20T21:48:02Z</dcterms:created>
  <dc:creator/>
  <dc:description/>
  <dc:language>de-DE</dc:language>
  <cp:lastModifiedBy/>
  <cp:revision>1</cp:revision>
  <dc:subject/>
  <dc:title>Aulus Gellius: Sertorius und die weiße Hirschkuh. Vereinfachte Version</dc:title>
</cp:coreProperties>
</file>