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3C6" w:rsidRPr="007339C5" w:rsidRDefault="000F63C6" w:rsidP="000F63C6">
      <w:pPr>
        <w:jc w:val="center"/>
        <w:rPr>
          <w:rFonts w:asciiTheme="minorHAnsi" w:hAnsiTheme="minorHAnsi" w:cstheme="minorHAnsi"/>
          <w:b/>
          <w:sz w:val="28"/>
          <w:szCs w:val="28"/>
        </w:rPr>
      </w:pPr>
      <w:r w:rsidRPr="007339C5">
        <w:rPr>
          <w:rFonts w:asciiTheme="minorHAnsi" w:hAnsiTheme="minorHAnsi" w:cstheme="minorHAnsi"/>
          <w:b/>
          <w:sz w:val="28"/>
          <w:szCs w:val="28"/>
        </w:rPr>
        <w:t xml:space="preserve">Einführende Informationen zum Cellokonzert von </w:t>
      </w:r>
      <w:proofErr w:type="spellStart"/>
      <w:r w:rsidRPr="007339C5">
        <w:rPr>
          <w:rFonts w:asciiTheme="minorHAnsi" w:hAnsiTheme="minorHAnsi" w:cstheme="minorHAnsi"/>
          <w:b/>
          <w:sz w:val="28"/>
          <w:szCs w:val="28"/>
        </w:rPr>
        <w:t>Antonín</w:t>
      </w:r>
      <w:proofErr w:type="spellEnd"/>
      <w:r w:rsidRPr="007339C5">
        <w:rPr>
          <w:rFonts w:asciiTheme="minorHAnsi" w:hAnsiTheme="minorHAnsi" w:cstheme="minorHAnsi"/>
          <w:b/>
          <w:sz w:val="28"/>
          <w:szCs w:val="28"/>
        </w:rPr>
        <w:t xml:space="preserve"> </w:t>
      </w:r>
      <w:proofErr w:type="spellStart"/>
      <w:r w:rsidRPr="007339C5">
        <w:rPr>
          <w:rFonts w:asciiTheme="minorHAnsi" w:hAnsiTheme="minorHAnsi" w:cstheme="minorHAnsi"/>
          <w:b/>
          <w:sz w:val="28"/>
          <w:szCs w:val="28"/>
        </w:rPr>
        <w:t>Dvořák</w:t>
      </w:r>
      <w:proofErr w:type="spellEnd"/>
    </w:p>
    <w:p w:rsidR="000F63C6" w:rsidRPr="007339C5" w:rsidRDefault="000F63C6" w:rsidP="000F63C6">
      <w:pPr>
        <w:rPr>
          <w:rFonts w:asciiTheme="minorHAnsi" w:hAnsiTheme="minorHAnsi" w:cstheme="minorHAnsi"/>
          <w:sz w:val="24"/>
          <w:szCs w:val="24"/>
        </w:rPr>
      </w:pPr>
      <w:r w:rsidRPr="007339C5">
        <w:rPr>
          <w:rFonts w:asciiTheme="minorHAnsi" w:hAnsiTheme="minorHAnsi" w:cstheme="minorHAnsi"/>
          <w:sz w:val="24"/>
          <w:szCs w:val="24"/>
        </w:rPr>
        <w:t xml:space="preserve">Das Konzert für Violoncello und Orchester in h-Moll, Opus 104, von </w:t>
      </w:r>
      <w:proofErr w:type="spellStart"/>
      <w:r w:rsidRPr="007339C5">
        <w:rPr>
          <w:rFonts w:asciiTheme="minorHAnsi" w:hAnsiTheme="minorHAnsi" w:cstheme="minorHAnsi"/>
          <w:sz w:val="24"/>
          <w:szCs w:val="24"/>
        </w:rPr>
        <w:t>Antonín</w:t>
      </w:r>
      <w:proofErr w:type="spellEnd"/>
      <w:r w:rsidRPr="007339C5">
        <w:rPr>
          <w:rFonts w:asciiTheme="minorHAnsi" w:hAnsiTheme="minorHAnsi" w:cstheme="minorHAnsi"/>
          <w:sz w:val="24"/>
          <w:szCs w:val="24"/>
        </w:rPr>
        <w:t xml:space="preserve"> </w:t>
      </w:r>
      <w:proofErr w:type="spellStart"/>
      <w:r w:rsidRPr="007339C5">
        <w:rPr>
          <w:rFonts w:asciiTheme="minorHAnsi" w:hAnsiTheme="minorHAnsi" w:cstheme="minorHAnsi"/>
          <w:sz w:val="24"/>
          <w:szCs w:val="24"/>
        </w:rPr>
        <w:t>Dvořák</w:t>
      </w:r>
      <w:proofErr w:type="spellEnd"/>
      <w:r w:rsidRPr="007339C5">
        <w:rPr>
          <w:rFonts w:asciiTheme="minorHAnsi" w:hAnsiTheme="minorHAnsi" w:cstheme="minorHAnsi"/>
          <w:sz w:val="24"/>
          <w:szCs w:val="24"/>
        </w:rPr>
        <w:t xml:space="preserve"> gehört zu den wichtigsten Solokonzerten der Romantik und ist vielleicht </w:t>
      </w:r>
      <w:r w:rsidRPr="007339C5">
        <w:rPr>
          <w:rFonts w:asciiTheme="minorHAnsi" w:hAnsiTheme="minorHAnsi" w:cstheme="minorHAnsi"/>
          <w:b/>
          <w:sz w:val="24"/>
          <w:szCs w:val="24"/>
          <w:u w:val="single"/>
        </w:rPr>
        <w:t>das</w:t>
      </w:r>
      <w:r w:rsidRPr="007339C5">
        <w:rPr>
          <w:rFonts w:asciiTheme="minorHAnsi" w:hAnsiTheme="minorHAnsi" w:cstheme="minorHAnsi"/>
          <w:sz w:val="24"/>
          <w:szCs w:val="24"/>
        </w:rPr>
        <w:t xml:space="preserve"> eindruck</w:t>
      </w:r>
      <w:r w:rsidR="00916810">
        <w:rPr>
          <w:rFonts w:asciiTheme="minorHAnsi" w:hAnsiTheme="minorHAnsi" w:cstheme="minorHAnsi"/>
          <w:sz w:val="24"/>
          <w:szCs w:val="24"/>
        </w:rPr>
        <w:t>s</w:t>
      </w:r>
      <w:r w:rsidRPr="007339C5">
        <w:rPr>
          <w:rFonts w:asciiTheme="minorHAnsi" w:hAnsiTheme="minorHAnsi" w:cstheme="minorHAnsi"/>
          <w:sz w:val="24"/>
          <w:szCs w:val="24"/>
        </w:rPr>
        <w:t xml:space="preserve">vollste Werk für Cello überhaupt. Es ist in den Jahren 1894-1895 </w:t>
      </w:r>
      <w:r w:rsidR="00305E0D">
        <w:rPr>
          <w:rFonts w:asciiTheme="minorHAnsi" w:hAnsiTheme="minorHAnsi" w:cstheme="minorHAnsi"/>
          <w:sz w:val="24"/>
          <w:szCs w:val="24"/>
        </w:rPr>
        <w:t>während</w:t>
      </w:r>
      <w:r w:rsidRPr="007339C5">
        <w:rPr>
          <w:rFonts w:asciiTheme="minorHAnsi" w:hAnsiTheme="minorHAnsi" w:cstheme="minorHAnsi"/>
          <w:sz w:val="24"/>
          <w:szCs w:val="24"/>
        </w:rPr>
        <w:t xml:space="preserve"> </w:t>
      </w:r>
      <w:proofErr w:type="spellStart"/>
      <w:r w:rsidRPr="007339C5">
        <w:rPr>
          <w:rFonts w:asciiTheme="minorHAnsi" w:hAnsiTheme="minorHAnsi" w:cstheme="minorHAnsi"/>
          <w:sz w:val="24"/>
          <w:szCs w:val="24"/>
        </w:rPr>
        <w:t>Dvořáks</w:t>
      </w:r>
      <w:proofErr w:type="spellEnd"/>
      <w:r w:rsidRPr="007339C5">
        <w:rPr>
          <w:rFonts w:asciiTheme="minorHAnsi" w:hAnsiTheme="minorHAnsi" w:cstheme="minorHAnsi"/>
          <w:sz w:val="24"/>
          <w:szCs w:val="24"/>
        </w:rPr>
        <w:t xml:space="preserve"> </w:t>
      </w:r>
      <w:r w:rsidR="000720FB">
        <w:rPr>
          <w:rFonts w:asciiTheme="minorHAnsi" w:hAnsiTheme="minorHAnsi" w:cstheme="minorHAnsi"/>
          <w:sz w:val="24"/>
          <w:szCs w:val="24"/>
        </w:rPr>
        <w:t>Zeit</w:t>
      </w:r>
      <w:r w:rsidRPr="007339C5">
        <w:rPr>
          <w:rFonts w:asciiTheme="minorHAnsi" w:hAnsiTheme="minorHAnsi" w:cstheme="minorHAnsi"/>
          <w:sz w:val="24"/>
          <w:szCs w:val="24"/>
        </w:rPr>
        <w:t xml:space="preserve"> als Direktor des </w:t>
      </w:r>
      <w:r w:rsidRPr="007339C5">
        <w:rPr>
          <w:rFonts w:asciiTheme="minorHAnsi" w:hAnsiTheme="minorHAnsi" w:cstheme="minorHAnsi"/>
          <w:i/>
          <w:sz w:val="24"/>
          <w:szCs w:val="24"/>
        </w:rPr>
        <w:t xml:space="preserve">National </w:t>
      </w:r>
      <w:proofErr w:type="spellStart"/>
      <w:r w:rsidRPr="007339C5">
        <w:rPr>
          <w:rFonts w:asciiTheme="minorHAnsi" w:hAnsiTheme="minorHAnsi" w:cstheme="minorHAnsi"/>
          <w:i/>
          <w:sz w:val="24"/>
          <w:szCs w:val="24"/>
        </w:rPr>
        <w:t>Conservatory</w:t>
      </w:r>
      <w:proofErr w:type="spellEnd"/>
      <w:r w:rsidRPr="007339C5">
        <w:rPr>
          <w:rFonts w:asciiTheme="minorHAnsi" w:hAnsiTheme="minorHAnsi" w:cstheme="minorHAnsi"/>
          <w:i/>
          <w:sz w:val="24"/>
          <w:szCs w:val="24"/>
        </w:rPr>
        <w:t xml:space="preserve"> </w:t>
      </w:r>
      <w:proofErr w:type="spellStart"/>
      <w:r w:rsidRPr="007339C5">
        <w:rPr>
          <w:rFonts w:asciiTheme="minorHAnsi" w:hAnsiTheme="minorHAnsi" w:cstheme="minorHAnsi"/>
          <w:i/>
          <w:sz w:val="24"/>
          <w:szCs w:val="24"/>
        </w:rPr>
        <w:t>of</w:t>
      </w:r>
      <w:proofErr w:type="spellEnd"/>
      <w:r w:rsidRPr="007339C5">
        <w:rPr>
          <w:rFonts w:asciiTheme="minorHAnsi" w:hAnsiTheme="minorHAnsi" w:cstheme="minorHAnsi"/>
          <w:i/>
          <w:sz w:val="24"/>
          <w:szCs w:val="24"/>
        </w:rPr>
        <w:t xml:space="preserve"> Music</w:t>
      </w:r>
      <w:r w:rsidRPr="007339C5">
        <w:rPr>
          <w:rFonts w:asciiTheme="minorHAnsi" w:hAnsiTheme="minorHAnsi" w:cstheme="minorHAnsi"/>
          <w:sz w:val="24"/>
          <w:szCs w:val="24"/>
        </w:rPr>
        <w:t xml:space="preserve"> in New York entstanden und wurde am 19.3.1896 in London durch Leo Stern uraufgeführt. </w:t>
      </w:r>
    </w:p>
    <w:p w:rsidR="000F63C6" w:rsidRPr="007339C5" w:rsidRDefault="000F63C6" w:rsidP="000F63C6">
      <w:pPr>
        <w:rPr>
          <w:rFonts w:asciiTheme="minorHAnsi" w:hAnsiTheme="minorHAnsi" w:cstheme="minorHAnsi"/>
          <w:sz w:val="24"/>
          <w:szCs w:val="24"/>
        </w:rPr>
      </w:pPr>
      <w:r w:rsidRPr="007339C5">
        <w:rPr>
          <w:rFonts w:asciiTheme="minorHAnsi" w:hAnsiTheme="minorHAnsi" w:cstheme="minorHAnsi"/>
          <w:sz w:val="24"/>
          <w:szCs w:val="24"/>
        </w:rPr>
        <w:t>Das Orchester und das Cello agieren weitgehend gleichberechtigt, so dass damit das Werk als sinfonisches Solokonzert eingeordnet werden kann.</w:t>
      </w:r>
    </w:p>
    <w:p w:rsidR="000F63C6" w:rsidRPr="007339C5" w:rsidRDefault="000F63C6" w:rsidP="000F63C6">
      <w:pPr>
        <w:rPr>
          <w:rFonts w:asciiTheme="minorHAnsi" w:hAnsiTheme="minorHAnsi" w:cstheme="minorHAnsi"/>
          <w:sz w:val="24"/>
          <w:szCs w:val="24"/>
        </w:rPr>
      </w:pPr>
      <w:bookmarkStart w:id="0" w:name="_GoBack"/>
      <w:bookmarkEnd w:id="0"/>
    </w:p>
    <w:p w:rsidR="000F63C6" w:rsidRPr="007339C5" w:rsidRDefault="000F63C6" w:rsidP="000F63C6">
      <w:pPr>
        <w:rPr>
          <w:rFonts w:asciiTheme="minorHAnsi" w:hAnsiTheme="minorHAnsi" w:cstheme="minorHAnsi"/>
          <w:sz w:val="24"/>
          <w:szCs w:val="24"/>
        </w:rPr>
      </w:pPr>
      <w:r w:rsidRPr="007339C5">
        <w:rPr>
          <w:rFonts w:asciiTheme="minorHAnsi" w:hAnsiTheme="minorHAnsi" w:cstheme="minorHAnsi"/>
          <w:sz w:val="24"/>
          <w:szCs w:val="24"/>
        </w:rPr>
        <w:t xml:space="preserve">Für die musikalische Gestaltung des zweiten und dritten Satzes lassen sich biografische Inspirationen nachweisen, die den Schüler*innen den Zugang erleichtern. </w:t>
      </w:r>
    </w:p>
    <w:p w:rsidR="000F63C6" w:rsidRPr="007339C5" w:rsidRDefault="000F63C6" w:rsidP="000F63C6">
      <w:pPr>
        <w:rPr>
          <w:rFonts w:asciiTheme="minorHAnsi" w:hAnsiTheme="minorHAnsi" w:cstheme="minorHAnsi"/>
          <w:sz w:val="24"/>
          <w:szCs w:val="24"/>
        </w:rPr>
      </w:pPr>
      <w:r w:rsidRPr="007339C5">
        <w:rPr>
          <w:rFonts w:asciiTheme="minorHAnsi" w:hAnsiTheme="minorHAnsi" w:cstheme="minorHAnsi"/>
          <w:sz w:val="24"/>
          <w:szCs w:val="24"/>
        </w:rPr>
        <w:t xml:space="preserve">Im zweiten Satz zitiert </w:t>
      </w:r>
      <w:proofErr w:type="spellStart"/>
      <w:r w:rsidRPr="007339C5">
        <w:rPr>
          <w:rFonts w:asciiTheme="minorHAnsi" w:hAnsiTheme="minorHAnsi" w:cstheme="minorHAnsi"/>
          <w:sz w:val="24"/>
          <w:szCs w:val="24"/>
        </w:rPr>
        <w:t>Dvořák</w:t>
      </w:r>
      <w:proofErr w:type="spellEnd"/>
      <w:r w:rsidRPr="007339C5">
        <w:rPr>
          <w:rFonts w:asciiTheme="minorHAnsi" w:hAnsiTheme="minorHAnsi" w:cstheme="minorHAnsi"/>
          <w:sz w:val="24"/>
          <w:szCs w:val="24"/>
        </w:rPr>
        <w:t xml:space="preserve"> sein eigenes Lied „Lasst mich allein in meinen Träumen </w:t>
      </w:r>
      <w:proofErr w:type="spellStart"/>
      <w:r w:rsidRPr="007339C5">
        <w:rPr>
          <w:rFonts w:asciiTheme="minorHAnsi" w:hAnsiTheme="minorHAnsi" w:cstheme="minorHAnsi"/>
          <w:sz w:val="24"/>
          <w:szCs w:val="24"/>
        </w:rPr>
        <w:t>gehn</w:t>
      </w:r>
      <w:proofErr w:type="spellEnd"/>
      <w:r w:rsidRPr="007339C5">
        <w:rPr>
          <w:rFonts w:asciiTheme="minorHAnsi" w:hAnsiTheme="minorHAnsi" w:cstheme="minorHAnsi"/>
          <w:sz w:val="24"/>
          <w:szCs w:val="24"/>
        </w:rPr>
        <w:t xml:space="preserve">“, op. 82, das Lieblingslied seiner Schwägerin Josefina </w:t>
      </w:r>
      <w:proofErr w:type="spellStart"/>
      <w:r w:rsidRPr="007339C5">
        <w:rPr>
          <w:rFonts w:asciiTheme="minorHAnsi" w:hAnsiTheme="minorHAnsi" w:cstheme="minorHAnsi"/>
          <w:sz w:val="24"/>
          <w:szCs w:val="24"/>
        </w:rPr>
        <w:t>Cermáková</w:t>
      </w:r>
      <w:proofErr w:type="spellEnd"/>
      <w:r w:rsidRPr="007339C5">
        <w:rPr>
          <w:rFonts w:asciiTheme="minorHAnsi" w:hAnsiTheme="minorHAnsi" w:cstheme="minorHAnsi"/>
          <w:sz w:val="24"/>
          <w:szCs w:val="24"/>
        </w:rPr>
        <w:t xml:space="preserve">, von deren schwerer Erkrankung er zum Zeitpunkt der Komposition erfährt. Josefina </w:t>
      </w:r>
      <w:proofErr w:type="spellStart"/>
      <w:r w:rsidRPr="007339C5">
        <w:rPr>
          <w:rFonts w:asciiTheme="minorHAnsi" w:hAnsiTheme="minorHAnsi" w:cstheme="minorHAnsi"/>
          <w:sz w:val="24"/>
          <w:szCs w:val="24"/>
        </w:rPr>
        <w:t>Cermáková</w:t>
      </w:r>
      <w:proofErr w:type="spellEnd"/>
      <w:r w:rsidRPr="007339C5">
        <w:rPr>
          <w:rFonts w:asciiTheme="minorHAnsi" w:hAnsiTheme="minorHAnsi" w:cstheme="minorHAnsi"/>
          <w:sz w:val="24"/>
          <w:szCs w:val="24"/>
        </w:rPr>
        <w:t xml:space="preserve"> ist als junge Frau seine Klavierschülerin gewesen und </w:t>
      </w:r>
      <w:proofErr w:type="spellStart"/>
      <w:r w:rsidRPr="007339C5">
        <w:rPr>
          <w:rFonts w:asciiTheme="minorHAnsi" w:hAnsiTheme="minorHAnsi" w:cstheme="minorHAnsi"/>
          <w:sz w:val="24"/>
          <w:szCs w:val="24"/>
        </w:rPr>
        <w:t>Dvořák</w:t>
      </w:r>
      <w:proofErr w:type="spellEnd"/>
      <w:r w:rsidRPr="007339C5">
        <w:rPr>
          <w:rFonts w:asciiTheme="minorHAnsi" w:hAnsiTheme="minorHAnsi" w:cstheme="minorHAnsi"/>
          <w:sz w:val="24"/>
          <w:szCs w:val="24"/>
        </w:rPr>
        <w:t xml:space="preserve"> verliebt sich in sie. Sie lehnt seinen Heiratsantrag allerdings ab, woraufhin </w:t>
      </w:r>
      <w:proofErr w:type="spellStart"/>
      <w:r w:rsidRPr="007339C5">
        <w:rPr>
          <w:rFonts w:asciiTheme="minorHAnsi" w:hAnsiTheme="minorHAnsi" w:cstheme="minorHAnsi"/>
          <w:sz w:val="24"/>
          <w:szCs w:val="24"/>
        </w:rPr>
        <w:t>Dvořák</w:t>
      </w:r>
      <w:proofErr w:type="spellEnd"/>
      <w:r w:rsidRPr="007339C5">
        <w:rPr>
          <w:rFonts w:asciiTheme="minorHAnsi" w:hAnsiTheme="minorHAnsi" w:cstheme="minorHAnsi"/>
          <w:sz w:val="24"/>
          <w:szCs w:val="24"/>
        </w:rPr>
        <w:t xml:space="preserve"> ihre Schwester Anna heiratet.</w:t>
      </w:r>
    </w:p>
    <w:p w:rsidR="000F63C6" w:rsidRPr="007339C5" w:rsidRDefault="000F63C6" w:rsidP="000F63C6">
      <w:pPr>
        <w:rPr>
          <w:rFonts w:asciiTheme="minorHAnsi" w:hAnsiTheme="minorHAnsi" w:cstheme="minorHAnsi"/>
          <w:sz w:val="24"/>
          <w:szCs w:val="24"/>
        </w:rPr>
      </w:pPr>
      <w:r w:rsidRPr="007339C5">
        <w:rPr>
          <w:rFonts w:asciiTheme="minorHAnsi" w:hAnsiTheme="minorHAnsi" w:cstheme="minorHAnsi"/>
          <w:sz w:val="24"/>
          <w:szCs w:val="24"/>
        </w:rPr>
        <w:t xml:space="preserve">Unmittelbar nach seiner Rückkehr nach Europa im April 1895 verstirbt Josefina </w:t>
      </w:r>
      <w:proofErr w:type="spellStart"/>
      <w:r w:rsidRPr="007339C5">
        <w:rPr>
          <w:rFonts w:asciiTheme="minorHAnsi" w:hAnsiTheme="minorHAnsi" w:cstheme="minorHAnsi"/>
          <w:sz w:val="24"/>
          <w:szCs w:val="24"/>
        </w:rPr>
        <w:t>Cermáková</w:t>
      </w:r>
      <w:proofErr w:type="spellEnd"/>
      <w:r w:rsidRPr="007339C5">
        <w:rPr>
          <w:rFonts w:asciiTheme="minorHAnsi" w:hAnsiTheme="minorHAnsi" w:cstheme="minorHAnsi"/>
          <w:sz w:val="24"/>
          <w:szCs w:val="24"/>
        </w:rPr>
        <w:t xml:space="preserve"> im Mai und </w:t>
      </w:r>
      <w:proofErr w:type="spellStart"/>
      <w:r w:rsidRPr="007339C5">
        <w:rPr>
          <w:rFonts w:asciiTheme="minorHAnsi" w:hAnsiTheme="minorHAnsi" w:cstheme="minorHAnsi"/>
          <w:sz w:val="24"/>
          <w:szCs w:val="24"/>
        </w:rPr>
        <w:t>Dvořák</w:t>
      </w:r>
      <w:proofErr w:type="spellEnd"/>
      <w:r w:rsidRPr="007339C5">
        <w:rPr>
          <w:rFonts w:asciiTheme="minorHAnsi" w:hAnsiTheme="minorHAnsi" w:cstheme="minorHAnsi"/>
          <w:sz w:val="24"/>
          <w:szCs w:val="24"/>
        </w:rPr>
        <w:t xml:space="preserve"> ändert den Schluss des Konzerts. Er fügt ca. 60 Takte hinzu, in denen er abermals das Lied wie eine verhüllte Erinnerung zitiert.</w:t>
      </w:r>
    </w:p>
    <w:p w:rsidR="000F63C6" w:rsidRPr="000F63C6" w:rsidRDefault="000F63C6" w:rsidP="000F63C6">
      <w:pPr>
        <w:rPr>
          <w:rFonts w:asciiTheme="minorHAnsi" w:hAnsiTheme="minorHAnsi" w:cstheme="minorHAnsi"/>
        </w:rPr>
      </w:pPr>
    </w:p>
    <w:p w:rsidR="000F63C6" w:rsidRPr="007339C5" w:rsidRDefault="000F63C6" w:rsidP="007339C5">
      <w:pPr>
        <w:suppressLineNumbers/>
        <w:shd w:val="clear" w:color="auto" w:fill="FFFFFF"/>
        <w:jc w:val="center"/>
        <w:rPr>
          <w:rFonts w:asciiTheme="minorHAnsi" w:hAnsiTheme="minorHAnsi" w:cstheme="minorHAnsi"/>
          <w:sz w:val="28"/>
          <w:szCs w:val="28"/>
        </w:rPr>
      </w:pPr>
      <w:r w:rsidRPr="007339C5">
        <w:rPr>
          <w:rFonts w:asciiTheme="minorHAnsi" w:hAnsiTheme="minorHAnsi" w:cstheme="minorHAnsi"/>
          <w:b/>
          <w:sz w:val="28"/>
          <w:szCs w:val="28"/>
        </w:rPr>
        <w:t>Formübersicht über das Cellokonzert von Dvorak</w:t>
      </w:r>
    </w:p>
    <w:tbl>
      <w:tblPr>
        <w:tblStyle w:val="Tabellenraster"/>
        <w:tblW w:w="9209" w:type="dxa"/>
        <w:tblLook w:val="04A0" w:firstRow="1" w:lastRow="0" w:firstColumn="1" w:lastColumn="0" w:noHBand="0" w:noVBand="1"/>
      </w:tblPr>
      <w:tblGrid>
        <w:gridCol w:w="1021"/>
        <w:gridCol w:w="1951"/>
        <w:gridCol w:w="1843"/>
        <w:gridCol w:w="1335"/>
        <w:gridCol w:w="3059"/>
      </w:tblGrid>
      <w:tr w:rsidR="000F63C6" w:rsidRPr="007339C5" w:rsidTr="00B32DF4">
        <w:tc>
          <w:tcPr>
            <w:tcW w:w="1021" w:type="dxa"/>
          </w:tcPr>
          <w:p w:rsidR="000F63C6" w:rsidRPr="007339C5" w:rsidRDefault="000F63C6" w:rsidP="00B32DF4">
            <w:pPr>
              <w:suppressLineNumbers/>
              <w:rPr>
                <w:rFonts w:asciiTheme="minorHAnsi" w:hAnsiTheme="minorHAnsi" w:cstheme="minorHAnsi"/>
                <w:sz w:val="24"/>
                <w:szCs w:val="24"/>
              </w:rPr>
            </w:pPr>
          </w:p>
        </w:tc>
        <w:tc>
          <w:tcPr>
            <w:tcW w:w="1951" w:type="dxa"/>
          </w:tcPr>
          <w:p w:rsidR="000F63C6" w:rsidRPr="007339C5" w:rsidRDefault="000F63C6" w:rsidP="00B32DF4">
            <w:pPr>
              <w:suppressLineNumbers/>
              <w:rPr>
                <w:rFonts w:asciiTheme="minorHAnsi" w:hAnsiTheme="minorHAnsi" w:cstheme="minorHAnsi"/>
                <w:i/>
                <w:sz w:val="24"/>
                <w:szCs w:val="24"/>
              </w:rPr>
            </w:pPr>
            <w:r w:rsidRPr="007339C5">
              <w:rPr>
                <w:rFonts w:asciiTheme="minorHAnsi" w:hAnsiTheme="minorHAnsi" w:cstheme="minorHAnsi"/>
                <w:i/>
                <w:sz w:val="24"/>
                <w:szCs w:val="24"/>
              </w:rPr>
              <w:t>Satzbezeichnung</w:t>
            </w:r>
          </w:p>
          <w:p w:rsidR="000F63C6" w:rsidRPr="007339C5" w:rsidRDefault="000F63C6" w:rsidP="00B32DF4">
            <w:pPr>
              <w:suppressLineNumbers/>
              <w:rPr>
                <w:rFonts w:asciiTheme="minorHAnsi" w:hAnsiTheme="minorHAnsi" w:cstheme="minorHAnsi"/>
                <w:i/>
                <w:sz w:val="24"/>
                <w:szCs w:val="24"/>
              </w:rPr>
            </w:pPr>
            <w:r w:rsidRPr="007339C5">
              <w:rPr>
                <w:rFonts w:asciiTheme="minorHAnsi" w:hAnsiTheme="minorHAnsi" w:cstheme="minorHAnsi"/>
                <w:i/>
                <w:sz w:val="24"/>
                <w:szCs w:val="24"/>
              </w:rPr>
              <w:t>Tempoangabe</w:t>
            </w:r>
          </w:p>
        </w:tc>
        <w:tc>
          <w:tcPr>
            <w:tcW w:w="1843" w:type="dxa"/>
          </w:tcPr>
          <w:p w:rsidR="000F63C6" w:rsidRPr="007339C5" w:rsidRDefault="000F63C6" w:rsidP="00B32DF4">
            <w:pPr>
              <w:suppressLineNumbers/>
              <w:rPr>
                <w:rFonts w:asciiTheme="minorHAnsi" w:hAnsiTheme="minorHAnsi" w:cstheme="minorHAnsi"/>
                <w:i/>
                <w:sz w:val="24"/>
                <w:szCs w:val="24"/>
              </w:rPr>
            </w:pPr>
            <w:r w:rsidRPr="007339C5">
              <w:rPr>
                <w:rFonts w:asciiTheme="minorHAnsi" w:hAnsiTheme="minorHAnsi" w:cstheme="minorHAnsi"/>
                <w:i/>
                <w:sz w:val="24"/>
                <w:szCs w:val="24"/>
              </w:rPr>
              <w:t>Grundtonarten</w:t>
            </w:r>
          </w:p>
        </w:tc>
        <w:tc>
          <w:tcPr>
            <w:tcW w:w="1335" w:type="dxa"/>
          </w:tcPr>
          <w:p w:rsidR="000F63C6" w:rsidRPr="007339C5" w:rsidRDefault="000F63C6" w:rsidP="00B32DF4">
            <w:pPr>
              <w:suppressLineNumbers/>
              <w:rPr>
                <w:rFonts w:asciiTheme="minorHAnsi" w:hAnsiTheme="minorHAnsi" w:cstheme="minorHAnsi"/>
                <w:i/>
                <w:sz w:val="24"/>
                <w:szCs w:val="24"/>
              </w:rPr>
            </w:pPr>
            <w:r w:rsidRPr="007339C5">
              <w:rPr>
                <w:rFonts w:asciiTheme="minorHAnsi" w:hAnsiTheme="minorHAnsi" w:cstheme="minorHAnsi"/>
                <w:i/>
                <w:sz w:val="24"/>
                <w:szCs w:val="24"/>
              </w:rPr>
              <w:t>Takt</w:t>
            </w:r>
          </w:p>
        </w:tc>
        <w:tc>
          <w:tcPr>
            <w:tcW w:w="3059" w:type="dxa"/>
          </w:tcPr>
          <w:p w:rsidR="000F63C6" w:rsidRPr="007339C5" w:rsidRDefault="000F63C6" w:rsidP="00B32DF4">
            <w:pPr>
              <w:suppressLineNumbers/>
              <w:rPr>
                <w:rFonts w:asciiTheme="minorHAnsi" w:hAnsiTheme="minorHAnsi" w:cstheme="minorHAnsi"/>
                <w:i/>
                <w:sz w:val="24"/>
                <w:szCs w:val="24"/>
              </w:rPr>
            </w:pPr>
            <w:r w:rsidRPr="007339C5">
              <w:rPr>
                <w:rFonts w:asciiTheme="minorHAnsi" w:hAnsiTheme="minorHAnsi" w:cstheme="minorHAnsi"/>
                <w:i/>
                <w:sz w:val="24"/>
                <w:szCs w:val="24"/>
              </w:rPr>
              <w:t>Musikalische Form</w:t>
            </w:r>
          </w:p>
        </w:tc>
      </w:tr>
      <w:tr w:rsidR="000F63C6" w:rsidRPr="007339C5" w:rsidTr="00B32DF4">
        <w:tc>
          <w:tcPr>
            <w:tcW w:w="1021"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1. Satz</w:t>
            </w:r>
          </w:p>
        </w:tc>
        <w:tc>
          <w:tcPr>
            <w:tcW w:w="1951"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Allegro</w:t>
            </w:r>
          </w:p>
        </w:tc>
        <w:tc>
          <w:tcPr>
            <w:tcW w:w="1843"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h-Moll</w:t>
            </w:r>
          </w:p>
        </w:tc>
        <w:tc>
          <w:tcPr>
            <w:tcW w:w="1335"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4/4-Takt</w:t>
            </w:r>
          </w:p>
        </w:tc>
        <w:tc>
          <w:tcPr>
            <w:tcW w:w="3059"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Sonatenhauptsatzform</w:t>
            </w:r>
          </w:p>
        </w:tc>
      </w:tr>
      <w:tr w:rsidR="000F63C6" w:rsidRPr="007339C5" w:rsidTr="00B32DF4">
        <w:tc>
          <w:tcPr>
            <w:tcW w:w="1021"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2. Satz</w:t>
            </w:r>
          </w:p>
        </w:tc>
        <w:tc>
          <w:tcPr>
            <w:tcW w:w="1951"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 xml:space="preserve">Adagio, </w:t>
            </w:r>
            <w:proofErr w:type="spellStart"/>
            <w:r w:rsidRPr="007339C5">
              <w:rPr>
                <w:rFonts w:asciiTheme="minorHAnsi" w:hAnsiTheme="minorHAnsi" w:cstheme="minorHAnsi"/>
                <w:sz w:val="24"/>
                <w:szCs w:val="24"/>
              </w:rPr>
              <w:t>ma</w:t>
            </w:r>
            <w:proofErr w:type="spellEnd"/>
            <w:r w:rsidRPr="007339C5">
              <w:rPr>
                <w:rFonts w:asciiTheme="minorHAnsi" w:hAnsiTheme="minorHAnsi" w:cstheme="minorHAnsi"/>
                <w:sz w:val="24"/>
                <w:szCs w:val="24"/>
              </w:rPr>
              <w:t xml:space="preserve"> non troppo</w:t>
            </w:r>
          </w:p>
        </w:tc>
        <w:tc>
          <w:tcPr>
            <w:tcW w:w="1843"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G-Dur, g-Moll</w:t>
            </w:r>
          </w:p>
        </w:tc>
        <w:tc>
          <w:tcPr>
            <w:tcW w:w="1335"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3/4-Takt</w:t>
            </w:r>
          </w:p>
        </w:tc>
        <w:tc>
          <w:tcPr>
            <w:tcW w:w="3059"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 xml:space="preserve">Dreiteilige Liedform: ABA‘-Form </w:t>
            </w:r>
          </w:p>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 xml:space="preserve">Variante des Hauptthemas des 1. Satzes, </w:t>
            </w:r>
          </w:p>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 xml:space="preserve">2. Thema: Selbstzitat Lied, </w:t>
            </w:r>
          </w:p>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Solokadenz</w:t>
            </w:r>
          </w:p>
        </w:tc>
      </w:tr>
      <w:tr w:rsidR="000F63C6" w:rsidRPr="000720FB" w:rsidTr="00B32DF4">
        <w:tc>
          <w:tcPr>
            <w:tcW w:w="1021"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3. Satz</w:t>
            </w:r>
          </w:p>
        </w:tc>
        <w:tc>
          <w:tcPr>
            <w:tcW w:w="1951"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Finale</w:t>
            </w:r>
          </w:p>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Allegro moderato</w:t>
            </w:r>
          </w:p>
        </w:tc>
        <w:tc>
          <w:tcPr>
            <w:tcW w:w="1843"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h-Moll, G-Dur, H-Dur</w:t>
            </w:r>
          </w:p>
        </w:tc>
        <w:tc>
          <w:tcPr>
            <w:tcW w:w="1335" w:type="dxa"/>
          </w:tcPr>
          <w:p w:rsidR="000F63C6" w:rsidRPr="007339C5" w:rsidRDefault="000F63C6" w:rsidP="00B32DF4">
            <w:pPr>
              <w:suppressLineNumbers/>
              <w:rPr>
                <w:rFonts w:asciiTheme="minorHAnsi" w:hAnsiTheme="minorHAnsi" w:cstheme="minorHAnsi"/>
                <w:sz w:val="24"/>
                <w:szCs w:val="24"/>
              </w:rPr>
            </w:pPr>
            <w:r w:rsidRPr="007339C5">
              <w:rPr>
                <w:rFonts w:asciiTheme="minorHAnsi" w:hAnsiTheme="minorHAnsi" w:cstheme="minorHAnsi"/>
                <w:sz w:val="24"/>
                <w:szCs w:val="24"/>
              </w:rPr>
              <w:t>2/4-Takt</w:t>
            </w:r>
          </w:p>
        </w:tc>
        <w:tc>
          <w:tcPr>
            <w:tcW w:w="3059" w:type="dxa"/>
          </w:tcPr>
          <w:p w:rsidR="000F63C6" w:rsidRPr="007339C5" w:rsidRDefault="000F63C6" w:rsidP="00B32DF4">
            <w:pPr>
              <w:suppressLineNumbers/>
              <w:rPr>
                <w:rFonts w:asciiTheme="minorHAnsi" w:hAnsiTheme="minorHAnsi" w:cstheme="minorHAnsi"/>
                <w:sz w:val="24"/>
                <w:szCs w:val="24"/>
                <w:lang w:val="en-US"/>
              </w:rPr>
            </w:pPr>
            <w:proofErr w:type="spellStart"/>
            <w:r w:rsidRPr="007339C5">
              <w:rPr>
                <w:rFonts w:asciiTheme="minorHAnsi" w:hAnsiTheme="minorHAnsi" w:cstheme="minorHAnsi"/>
                <w:sz w:val="24"/>
                <w:szCs w:val="24"/>
                <w:lang w:val="en-US"/>
              </w:rPr>
              <w:t>Rondoform</w:t>
            </w:r>
            <w:proofErr w:type="spellEnd"/>
          </w:p>
          <w:p w:rsidR="000F63C6" w:rsidRPr="007339C5" w:rsidRDefault="000F63C6" w:rsidP="00B32DF4">
            <w:pPr>
              <w:suppressLineNumbers/>
              <w:rPr>
                <w:rFonts w:asciiTheme="minorHAnsi" w:hAnsiTheme="minorHAnsi" w:cstheme="minorHAnsi"/>
                <w:sz w:val="24"/>
                <w:szCs w:val="24"/>
                <w:lang w:val="en-US"/>
              </w:rPr>
            </w:pPr>
            <w:r w:rsidRPr="007339C5">
              <w:rPr>
                <w:rFonts w:asciiTheme="minorHAnsi" w:hAnsiTheme="minorHAnsi" w:cstheme="minorHAnsi"/>
                <w:sz w:val="24"/>
                <w:szCs w:val="24"/>
                <w:lang w:val="en-US"/>
              </w:rPr>
              <w:t>Solo-</w:t>
            </w:r>
            <w:proofErr w:type="spellStart"/>
            <w:r w:rsidRPr="007339C5">
              <w:rPr>
                <w:rFonts w:asciiTheme="minorHAnsi" w:hAnsiTheme="minorHAnsi" w:cstheme="minorHAnsi"/>
                <w:sz w:val="24"/>
                <w:szCs w:val="24"/>
                <w:lang w:val="en-US"/>
              </w:rPr>
              <w:t>Violine</w:t>
            </w:r>
            <w:proofErr w:type="spellEnd"/>
            <w:r w:rsidRPr="007339C5">
              <w:rPr>
                <w:rFonts w:asciiTheme="minorHAnsi" w:hAnsiTheme="minorHAnsi" w:cstheme="minorHAnsi"/>
                <w:sz w:val="24"/>
                <w:szCs w:val="24"/>
                <w:lang w:val="en-US"/>
              </w:rPr>
              <w:t xml:space="preserve"> </w:t>
            </w:r>
            <w:proofErr w:type="spellStart"/>
            <w:r w:rsidRPr="007339C5">
              <w:rPr>
                <w:rFonts w:asciiTheme="minorHAnsi" w:hAnsiTheme="minorHAnsi" w:cstheme="minorHAnsi"/>
                <w:sz w:val="24"/>
                <w:szCs w:val="24"/>
                <w:lang w:val="en-US"/>
              </w:rPr>
              <w:t>Liedzitat</w:t>
            </w:r>
            <w:proofErr w:type="spellEnd"/>
          </w:p>
          <w:p w:rsidR="000F63C6" w:rsidRPr="007339C5" w:rsidRDefault="000F63C6" w:rsidP="00B32DF4">
            <w:pPr>
              <w:suppressLineNumbers/>
              <w:rPr>
                <w:rFonts w:asciiTheme="minorHAnsi" w:hAnsiTheme="minorHAnsi" w:cstheme="minorHAnsi"/>
                <w:sz w:val="24"/>
                <w:szCs w:val="24"/>
                <w:lang w:val="en-US"/>
              </w:rPr>
            </w:pPr>
            <w:r w:rsidRPr="007339C5">
              <w:rPr>
                <w:rFonts w:asciiTheme="minorHAnsi" w:hAnsiTheme="minorHAnsi" w:cstheme="minorHAnsi"/>
                <w:sz w:val="24"/>
                <w:szCs w:val="24"/>
                <w:lang w:val="en-US"/>
              </w:rPr>
              <w:t>Coda</w:t>
            </w:r>
          </w:p>
        </w:tc>
      </w:tr>
    </w:tbl>
    <w:p w:rsidR="000F63C6" w:rsidRPr="007339C5" w:rsidRDefault="000F63C6" w:rsidP="000F63C6">
      <w:pPr>
        <w:suppressLineNumbers/>
        <w:shd w:val="clear" w:color="auto" w:fill="FFFFFF"/>
        <w:rPr>
          <w:rFonts w:asciiTheme="minorHAnsi" w:hAnsiTheme="minorHAnsi" w:cstheme="minorHAnsi"/>
          <w:sz w:val="24"/>
          <w:szCs w:val="24"/>
          <w:lang w:val="en-US"/>
        </w:rPr>
      </w:pPr>
    </w:p>
    <w:p w:rsidR="007339C5" w:rsidRDefault="007339C5" w:rsidP="000F63C6">
      <w:pPr>
        <w:rPr>
          <w:rFonts w:asciiTheme="minorHAnsi" w:hAnsiTheme="minorHAnsi" w:cstheme="minorHAnsi"/>
          <w:b/>
          <w:sz w:val="24"/>
          <w:szCs w:val="24"/>
          <w:lang w:val="en-US"/>
        </w:rPr>
      </w:pPr>
    </w:p>
    <w:p w:rsidR="000F63C6" w:rsidRPr="0028671D" w:rsidRDefault="007339C5" w:rsidP="00451857">
      <w:pPr>
        <w:jc w:val="center"/>
        <w:rPr>
          <w:rFonts w:asciiTheme="minorHAnsi" w:hAnsiTheme="minorHAnsi" w:cstheme="minorHAnsi"/>
          <w:b/>
          <w:sz w:val="28"/>
          <w:szCs w:val="28"/>
        </w:rPr>
      </w:pPr>
      <w:r w:rsidRPr="000720FB">
        <w:rPr>
          <w:rFonts w:asciiTheme="minorHAnsi" w:hAnsiTheme="minorHAnsi" w:cstheme="minorHAnsi"/>
          <w:b/>
          <w:sz w:val="24"/>
          <w:szCs w:val="24"/>
        </w:rPr>
        <w:br w:type="page"/>
      </w:r>
      <w:r w:rsidRPr="0028671D">
        <w:rPr>
          <w:rFonts w:asciiTheme="minorHAnsi" w:hAnsiTheme="minorHAnsi" w:cstheme="minorHAnsi"/>
          <w:b/>
          <w:sz w:val="28"/>
          <w:szCs w:val="28"/>
        </w:rPr>
        <w:lastRenderedPageBreak/>
        <w:t>Einordnung in den Bildungsplan 2016</w:t>
      </w:r>
    </w:p>
    <w:p w:rsidR="00ED4B84" w:rsidRDefault="007339C5" w:rsidP="00ED4B84">
      <w:pPr>
        <w:rPr>
          <w:rFonts w:asciiTheme="minorHAnsi" w:hAnsiTheme="minorHAnsi" w:cstheme="minorHAnsi"/>
          <w:sz w:val="24"/>
          <w:szCs w:val="24"/>
        </w:rPr>
      </w:pPr>
      <w:r w:rsidRPr="007339C5">
        <w:rPr>
          <w:rFonts w:asciiTheme="minorHAnsi" w:hAnsiTheme="minorHAnsi" w:cstheme="minorHAnsi"/>
          <w:sz w:val="24"/>
          <w:szCs w:val="24"/>
        </w:rPr>
        <w:t xml:space="preserve">Das Beschreiben </w:t>
      </w:r>
      <w:r w:rsidR="00C94354">
        <w:rPr>
          <w:rFonts w:asciiTheme="minorHAnsi" w:hAnsiTheme="minorHAnsi" w:cstheme="minorHAnsi"/>
          <w:sz w:val="24"/>
          <w:szCs w:val="24"/>
        </w:rPr>
        <w:t>bzw.</w:t>
      </w:r>
      <w:r w:rsidRPr="007339C5">
        <w:rPr>
          <w:rFonts w:asciiTheme="minorHAnsi" w:hAnsiTheme="minorHAnsi" w:cstheme="minorHAnsi"/>
          <w:sz w:val="24"/>
          <w:szCs w:val="24"/>
        </w:rPr>
        <w:t xml:space="preserve"> Analysieren von Musik unter Verwendung der </w:t>
      </w:r>
      <w:r>
        <w:rPr>
          <w:rFonts w:asciiTheme="minorHAnsi" w:hAnsiTheme="minorHAnsi" w:cstheme="minorHAnsi"/>
          <w:sz w:val="24"/>
          <w:szCs w:val="24"/>
        </w:rPr>
        <w:t xml:space="preserve">musikalischen Fachsprache ist die </w:t>
      </w:r>
      <w:r w:rsidR="0028671D">
        <w:rPr>
          <w:rFonts w:asciiTheme="minorHAnsi" w:hAnsiTheme="minorHAnsi" w:cstheme="minorHAnsi"/>
          <w:sz w:val="24"/>
          <w:szCs w:val="24"/>
        </w:rPr>
        <w:t xml:space="preserve">entscheidende </w:t>
      </w:r>
      <w:r>
        <w:rPr>
          <w:rFonts w:asciiTheme="minorHAnsi" w:hAnsiTheme="minorHAnsi" w:cstheme="minorHAnsi"/>
          <w:sz w:val="24"/>
          <w:szCs w:val="24"/>
        </w:rPr>
        <w:t xml:space="preserve">inhaltsbezogene Kompetenz unter dem Oberbegriff „Musik verstehen“ in der Sekundarstufe II. Die dazu notwendigen Fertigkeiten </w:t>
      </w:r>
      <w:r w:rsidR="0028671D">
        <w:rPr>
          <w:rFonts w:asciiTheme="minorHAnsi" w:hAnsiTheme="minorHAnsi" w:cstheme="minorHAnsi"/>
          <w:sz w:val="24"/>
          <w:szCs w:val="24"/>
        </w:rPr>
        <w:t>sollten</w:t>
      </w:r>
      <w:r>
        <w:rPr>
          <w:rFonts w:asciiTheme="minorHAnsi" w:hAnsiTheme="minorHAnsi" w:cstheme="minorHAnsi"/>
          <w:sz w:val="24"/>
          <w:szCs w:val="24"/>
        </w:rPr>
        <w:t xml:space="preserve"> schon in der Mittelstufe spiralcurricular </w:t>
      </w:r>
      <w:r w:rsidR="0028671D">
        <w:rPr>
          <w:rFonts w:asciiTheme="minorHAnsi" w:hAnsiTheme="minorHAnsi" w:cstheme="minorHAnsi"/>
          <w:sz w:val="24"/>
          <w:szCs w:val="24"/>
        </w:rPr>
        <w:t xml:space="preserve">immer wieder </w:t>
      </w:r>
      <w:r w:rsidR="000B182A">
        <w:rPr>
          <w:rFonts w:asciiTheme="minorHAnsi" w:hAnsiTheme="minorHAnsi" w:cstheme="minorHAnsi"/>
          <w:sz w:val="24"/>
          <w:szCs w:val="24"/>
        </w:rPr>
        <w:t xml:space="preserve">an geeigneten Werken </w:t>
      </w:r>
      <w:r w:rsidR="0028671D">
        <w:rPr>
          <w:rFonts w:asciiTheme="minorHAnsi" w:hAnsiTheme="minorHAnsi" w:cstheme="minorHAnsi"/>
          <w:sz w:val="24"/>
          <w:szCs w:val="24"/>
        </w:rPr>
        <w:t xml:space="preserve">thematisiert, </w:t>
      </w:r>
      <w:r>
        <w:rPr>
          <w:rFonts w:asciiTheme="minorHAnsi" w:hAnsiTheme="minorHAnsi" w:cstheme="minorHAnsi"/>
          <w:sz w:val="24"/>
          <w:szCs w:val="24"/>
        </w:rPr>
        <w:t>eingeübt und erlernt werden.</w:t>
      </w:r>
    </w:p>
    <w:p w:rsidR="000B182A" w:rsidRDefault="000B182A" w:rsidP="00ED4B84">
      <w:pPr>
        <w:rPr>
          <w:rFonts w:asciiTheme="minorHAnsi" w:hAnsiTheme="minorHAnsi" w:cstheme="minorHAnsi"/>
          <w:sz w:val="24"/>
          <w:szCs w:val="24"/>
        </w:rPr>
      </w:pPr>
    </w:p>
    <w:p w:rsidR="00ED4B84" w:rsidRDefault="00ED4B84" w:rsidP="00ED4B84">
      <w:pPr>
        <w:rPr>
          <w:rFonts w:asciiTheme="minorHAnsi" w:hAnsiTheme="minorHAnsi" w:cstheme="minorHAnsi"/>
          <w:sz w:val="24"/>
          <w:szCs w:val="24"/>
        </w:rPr>
      </w:pPr>
      <w:r>
        <w:rPr>
          <w:rFonts w:asciiTheme="minorHAnsi" w:hAnsiTheme="minorHAnsi" w:cstheme="minorHAnsi"/>
          <w:sz w:val="24"/>
          <w:szCs w:val="24"/>
        </w:rPr>
        <w:t>Gymnasium, Klasse 9/10</w:t>
      </w:r>
    </w:p>
    <w:p w:rsidR="007339C5" w:rsidRPr="00860E94" w:rsidRDefault="007339C5" w:rsidP="007339C5">
      <w:pPr>
        <w:rPr>
          <w:rFonts w:asciiTheme="minorHAnsi" w:hAnsiTheme="minorHAnsi" w:cstheme="minorHAnsi"/>
          <w:sz w:val="24"/>
          <w:szCs w:val="24"/>
        </w:rPr>
      </w:pPr>
      <w:r w:rsidRPr="00860E94">
        <w:rPr>
          <w:rFonts w:asciiTheme="minorHAnsi" w:hAnsiTheme="minorHAnsi" w:cstheme="minorHAnsi"/>
          <w:sz w:val="24"/>
          <w:szCs w:val="24"/>
        </w:rPr>
        <w:t>3.3.2 Musik verstehen</w:t>
      </w:r>
    </w:p>
    <w:p w:rsidR="007339C5" w:rsidRPr="00860E94" w:rsidRDefault="007339C5" w:rsidP="007339C5">
      <w:pPr>
        <w:rPr>
          <w:rFonts w:asciiTheme="minorHAnsi" w:hAnsiTheme="minorHAnsi" w:cstheme="minorHAnsi"/>
          <w:sz w:val="24"/>
          <w:szCs w:val="24"/>
        </w:rPr>
      </w:pPr>
      <w:r w:rsidRPr="00860E94">
        <w:rPr>
          <w:rFonts w:asciiTheme="minorHAnsi" w:hAnsiTheme="minorHAnsi" w:cstheme="minorHAnsi"/>
          <w:sz w:val="24"/>
          <w:szCs w:val="24"/>
        </w:rPr>
        <w:t>Die Schülerinnen und Schüler können Musik hörend, musizierend und am Notentext erfassen und beschreiben und nutzen diese Fähigkeiten für die Steuerung ihres musikalischen Verhaltens. Sie beschreiben Gestaltungsmittel von vertrauter und ungewohnter Musik und erläutern die Vielfalt musikalischer Erscheinungsformen.</w:t>
      </w:r>
    </w:p>
    <w:p w:rsidR="007339C5" w:rsidRPr="00860E94" w:rsidRDefault="00610B1E" w:rsidP="007339C5">
      <w:pPr>
        <w:rPr>
          <w:rFonts w:asciiTheme="minorHAnsi" w:hAnsiTheme="minorHAnsi" w:cstheme="minorHAnsi"/>
        </w:rPr>
      </w:pPr>
      <w:hyperlink r:id="rId7" w:history="1">
        <w:r w:rsidR="007339C5" w:rsidRPr="00860E94">
          <w:rPr>
            <w:rStyle w:val="Hyperlink"/>
            <w:rFonts w:asciiTheme="minorHAnsi" w:hAnsiTheme="minorHAnsi" w:cstheme="minorHAnsi"/>
          </w:rPr>
          <w:t>http://www.bildungsplaene-bw.de/,Lde/LS/BP2016BW/ALLG/GYM/MUS/IK/9-10/02</w:t>
        </w:r>
      </w:hyperlink>
    </w:p>
    <w:p w:rsidR="00ED4B84" w:rsidRDefault="00ED4B84" w:rsidP="007339C5">
      <w:pPr>
        <w:rPr>
          <w:rFonts w:asciiTheme="minorHAnsi" w:hAnsiTheme="minorHAnsi" w:cstheme="minorHAnsi"/>
          <w:sz w:val="24"/>
          <w:szCs w:val="24"/>
        </w:rPr>
      </w:pPr>
    </w:p>
    <w:p w:rsidR="00ED4B84" w:rsidRDefault="00ED4B84" w:rsidP="007339C5">
      <w:pPr>
        <w:rPr>
          <w:rFonts w:asciiTheme="minorHAnsi" w:hAnsiTheme="minorHAnsi" w:cstheme="minorHAnsi"/>
          <w:sz w:val="24"/>
          <w:szCs w:val="24"/>
        </w:rPr>
      </w:pPr>
      <w:r>
        <w:rPr>
          <w:rFonts w:asciiTheme="minorHAnsi" w:hAnsiTheme="minorHAnsi" w:cstheme="minorHAnsi"/>
          <w:sz w:val="24"/>
          <w:szCs w:val="24"/>
        </w:rPr>
        <w:t>Gymnasium, Klasse 11/12</w:t>
      </w:r>
    </w:p>
    <w:p w:rsidR="007339C5" w:rsidRPr="00ED4B84" w:rsidRDefault="007339C5" w:rsidP="007339C5">
      <w:pPr>
        <w:rPr>
          <w:rFonts w:asciiTheme="minorHAnsi" w:hAnsiTheme="minorHAnsi" w:cstheme="minorHAnsi"/>
          <w:sz w:val="24"/>
          <w:szCs w:val="24"/>
        </w:rPr>
      </w:pPr>
      <w:r w:rsidRPr="00ED4B84">
        <w:rPr>
          <w:rFonts w:asciiTheme="minorHAnsi" w:hAnsiTheme="minorHAnsi" w:cstheme="minorHAnsi"/>
          <w:sz w:val="24"/>
          <w:szCs w:val="24"/>
        </w:rPr>
        <w:t>3.4.2 Musik verstehen</w:t>
      </w:r>
    </w:p>
    <w:p w:rsidR="00164B4B" w:rsidRPr="00860E94" w:rsidRDefault="007339C5" w:rsidP="007339C5">
      <w:pPr>
        <w:rPr>
          <w:rFonts w:asciiTheme="minorHAnsi" w:hAnsiTheme="minorHAnsi" w:cstheme="minorHAnsi"/>
          <w:sz w:val="24"/>
          <w:szCs w:val="24"/>
        </w:rPr>
      </w:pPr>
      <w:r w:rsidRPr="00860E94">
        <w:rPr>
          <w:rFonts w:asciiTheme="minorHAnsi" w:hAnsiTheme="minorHAnsi" w:cstheme="minorHAnsi"/>
          <w:sz w:val="24"/>
          <w:szCs w:val="24"/>
        </w:rPr>
        <w:t>Die Schülerinnen und Schüler können Musik mit geeigneten Methoden nach bestimmten Kriterien analysieren. Dabei können sie gestaltbildende Merkmale von Musik hörend und am Notentext erkennen und beschreiben. Sie sind in der Lage, diese Gestaltungselemente aufeinander zu beziehen und deren Ausdruck und Wirkung differenziert zu erläutern.</w:t>
      </w:r>
    </w:p>
    <w:p w:rsidR="0008490A" w:rsidRPr="00860E94" w:rsidRDefault="0008490A" w:rsidP="0008490A">
      <w:pPr>
        <w:rPr>
          <w:rFonts w:asciiTheme="minorHAnsi" w:hAnsiTheme="minorHAnsi" w:cstheme="minorHAnsi"/>
          <w:sz w:val="24"/>
          <w:szCs w:val="24"/>
        </w:rPr>
      </w:pPr>
      <w:r w:rsidRPr="00860E94">
        <w:rPr>
          <w:rFonts w:asciiTheme="minorHAnsi" w:hAnsiTheme="minorHAnsi" w:cstheme="minorHAnsi"/>
          <w:sz w:val="24"/>
          <w:szCs w:val="24"/>
        </w:rPr>
        <w:t>Die Schülerinnen und Schüler können</w:t>
      </w:r>
    </w:p>
    <w:p w:rsidR="0008490A" w:rsidRPr="00860E94" w:rsidRDefault="0008490A" w:rsidP="00B51C3F">
      <w:pPr>
        <w:pStyle w:val="Listenabsatz"/>
        <w:numPr>
          <w:ilvl w:val="0"/>
          <w:numId w:val="11"/>
        </w:numPr>
        <w:rPr>
          <w:rFonts w:asciiTheme="minorHAnsi" w:hAnsiTheme="minorHAnsi" w:cstheme="minorHAnsi"/>
          <w:sz w:val="24"/>
          <w:szCs w:val="24"/>
        </w:rPr>
      </w:pPr>
      <w:r w:rsidRPr="00860E94">
        <w:rPr>
          <w:rFonts w:asciiTheme="minorHAnsi" w:hAnsiTheme="minorHAnsi" w:cstheme="minorHAnsi"/>
          <w:sz w:val="24"/>
          <w:szCs w:val="24"/>
        </w:rPr>
        <w:t xml:space="preserve">Musikalische Verläufe und Strukturen mithilfe angemessener Analysemethoden erfassen und unter Verwendung der Fachsprache beschreiben: Melodik, Rhythmik, Harmonik, Formgebung, Satztechnik, Instrumentierung und Besetzung, Ausdruck und Wirkung </w:t>
      </w:r>
    </w:p>
    <w:p w:rsidR="0008490A" w:rsidRPr="00860E94" w:rsidRDefault="0008490A" w:rsidP="0008490A">
      <w:pPr>
        <w:pStyle w:val="Listenabsatz"/>
        <w:numPr>
          <w:ilvl w:val="0"/>
          <w:numId w:val="11"/>
        </w:numPr>
        <w:rPr>
          <w:rFonts w:asciiTheme="minorHAnsi" w:hAnsiTheme="minorHAnsi" w:cstheme="minorHAnsi"/>
          <w:sz w:val="24"/>
          <w:szCs w:val="24"/>
        </w:rPr>
      </w:pPr>
      <w:r w:rsidRPr="00860E94">
        <w:rPr>
          <w:rFonts w:asciiTheme="minorHAnsi" w:hAnsiTheme="minorHAnsi" w:cstheme="minorHAnsi"/>
          <w:sz w:val="24"/>
          <w:szCs w:val="24"/>
        </w:rPr>
        <w:t>form- beziehungsweise gattungstypische und individuelle Gestaltungsmerkmale musikalischer Werke in verschiedenen musikhistorischen Epochen erkennen und einordnen</w:t>
      </w:r>
    </w:p>
    <w:p w:rsidR="0008490A" w:rsidRPr="00860E94" w:rsidRDefault="0008490A" w:rsidP="0008490A">
      <w:pPr>
        <w:pStyle w:val="Listenabsatz"/>
        <w:numPr>
          <w:ilvl w:val="0"/>
          <w:numId w:val="11"/>
        </w:numPr>
        <w:rPr>
          <w:rFonts w:asciiTheme="minorHAnsi" w:hAnsiTheme="minorHAnsi" w:cstheme="minorHAnsi"/>
          <w:sz w:val="24"/>
          <w:szCs w:val="24"/>
        </w:rPr>
      </w:pPr>
      <w:r w:rsidRPr="00860E94">
        <w:rPr>
          <w:rFonts w:asciiTheme="minorHAnsi" w:hAnsiTheme="minorHAnsi" w:cstheme="minorHAnsi"/>
          <w:sz w:val="24"/>
          <w:szCs w:val="24"/>
        </w:rPr>
        <w:t>historische Entwicklungen und epochentypische Merkmale exemplarisch an einer musikalischen Form oder Gattung erkennen und einordnen: Mittelalter, Renaissance, Barock, Klassik, 19. Jahrhundert</w:t>
      </w:r>
    </w:p>
    <w:p w:rsidR="007339C5" w:rsidRPr="00860E94" w:rsidRDefault="00610B1E" w:rsidP="007339C5">
      <w:pPr>
        <w:rPr>
          <w:rFonts w:asciiTheme="minorHAnsi" w:hAnsiTheme="minorHAnsi" w:cstheme="minorHAnsi"/>
        </w:rPr>
      </w:pPr>
      <w:hyperlink r:id="rId8" w:history="1">
        <w:r w:rsidR="007339C5" w:rsidRPr="00860E94">
          <w:rPr>
            <w:rStyle w:val="Hyperlink"/>
            <w:rFonts w:asciiTheme="minorHAnsi" w:hAnsiTheme="minorHAnsi" w:cstheme="minorHAnsi"/>
          </w:rPr>
          <w:t>http://www.bildungsplaene-bw.de/,Lde/LS/BP2016BW/ALLG/GYM/MUS/IK/11-12/02</w:t>
        </w:r>
      </w:hyperlink>
    </w:p>
    <w:sectPr w:rsidR="007339C5" w:rsidRPr="00860E94" w:rsidSect="00C66605">
      <w:headerReference w:type="even" r:id="rId9"/>
      <w:headerReference w:type="default" r:id="rId10"/>
      <w:footerReference w:type="even" r:id="rId11"/>
      <w:footerReference w:type="default" r:id="rId12"/>
      <w:headerReference w:type="first" r:id="rId13"/>
      <w:footerReference w:type="first" r:id="rId14"/>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B1E" w:rsidRDefault="00610B1E" w:rsidP="00C66605">
      <w:pPr>
        <w:spacing w:after="0" w:line="240" w:lineRule="auto"/>
      </w:pPr>
      <w:r>
        <w:separator/>
      </w:r>
    </w:p>
  </w:endnote>
  <w:endnote w:type="continuationSeparator" w:id="0">
    <w:p w:rsidR="00610B1E" w:rsidRDefault="00610B1E"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B1E" w:rsidRDefault="00610B1E" w:rsidP="00C66605">
      <w:pPr>
        <w:spacing w:after="0" w:line="240" w:lineRule="auto"/>
      </w:pPr>
      <w:r>
        <w:separator/>
      </w:r>
    </w:p>
  </w:footnote>
  <w:footnote w:type="continuationSeparator" w:id="0">
    <w:p w:rsidR="00610B1E" w:rsidRDefault="00610B1E"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E612F3"/>
    <w:multiLevelType w:val="hybridMultilevel"/>
    <w:tmpl w:val="E4AAD6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0"/>
  </w:num>
  <w:num w:numId="6">
    <w:abstractNumId w:val="4"/>
  </w:num>
  <w:num w:numId="7">
    <w:abstractNumId w:val="8"/>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720FB"/>
    <w:rsid w:val="00075F91"/>
    <w:rsid w:val="0008490A"/>
    <w:rsid w:val="00096DD9"/>
    <w:rsid w:val="000B182A"/>
    <w:rsid w:val="000B21AA"/>
    <w:rsid w:val="000F63C6"/>
    <w:rsid w:val="00105D18"/>
    <w:rsid w:val="00110123"/>
    <w:rsid w:val="00153CCB"/>
    <w:rsid w:val="0016304D"/>
    <w:rsid w:val="00164B4B"/>
    <w:rsid w:val="001852DE"/>
    <w:rsid w:val="001938AE"/>
    <w:rsid w:val="001A1C38"/>
    <w:rsid w:val="001A50BE"/>
    <w:rsid w:val="001A6E2E"/>
    <w:rsid w:val="00213748"/>
    <w:rsid w:val="00224560"/>
    <w:rsid w:val="0028671D"/>
    <w:rsid w:val="002935FD"/>
    <w:rsid w:val="0029391C"/>
    <w:rsid w:val="002E4699"/>
    <w:rsid w:val="00305E0D"/>
    <w:rsid w:val="00314ABB"/>
    <w:rsid w:val="003361AE"/>
    <w:rsid w:val="003763F9"/>
    <w:rsid w:val="003827BE"/>
    <w:rsid w:val="003E5332"/>
    <w:rsid w:val="00451857"/>
    <w:rsid w:val="0047471C"/>
    <w:rsid w:val="0048054B"/>
    <w:rsid w:val="004C3E68"/>
    <w:rsid w:val="004E26AD"/>
    <w:rsid w:val="00515B03"/>
    <w:rsid w:val="005D73E9"/>
    <w:rsid w:val="005D7A23"/>
    <w:rsid w:val="00610B1E"/>
    <w:rsid w:val="00640E1C"/>
    <w:rsid w:val="00676E67"/>
    <w:rsid w:val="00684F16"/>
    <w:rsid w:val="007339C5"/>
    <w:rsid w:val="007C6960"/>
    <w:rsid w:val="007F5B90"/>
    <w:rsid w:val="00805CEA"/>
    <w:rsid w:val="00822031"/>
    <w:rsid w:val="00835B94"/>
    <w:rsid w:val="00851E45"/>
    <w:rsid w:val="00860E94"/>
    <w:rsid w:val="00874E09"/>
    <w:rsid w:val="008F6860"/>
    <w:rsid w:val="00916810"/>
    <w:rsid w:val="00944FDE"/>
    <w:rsid w:val="009B0A46"/>
    <w:rsid w:val="009B6831"/>
    <w:rsid w:val="009D0356"/>
    <w:rsid w:val="009D136D"/>
    <w:rsid w:val="009E55FA"/>
    <w:rsid w:val="00A444A4"/>
    <w:rsid w:val="00A44AF9"/>
    <w:rsid w:val="00A64C65"/>
    <w:rsid w:val="00AE4260"/>
    <w:rsid w:val="00B03EF9"/>
    <w:rsid w:val="00B520E2"/>
    <w:rsid w:val="00B77342"/>
    <w:rsid w:val="00BA493C"/>
    <w:rsid w:val="00BD081A"/>
    <w:rsid w:val="00BF086D"/>
    <w:rsid w:val="00C421A5"/>
    <w:rsid w:val="00C66605"/>
    <w:rsid w:val="00C94354"/>
    <w:rsid w:val="00D13371"/>
    <w:rsid w:val="00DB375C"/>
    <w:rsid w:val="00DB69EC"/>
    <w:rsid w:val="00DB7054"/>
    <w:rsid w:val="00DD2F1C"/>
    <w:rsid w:val="00E053E4"/>
    <w:rsid w:val="00E27DFF"/>
    <w:rsid w:val="00E611B1"/>
    <w:rsid w:val="00EB39FB"/>
    <w:rsid w:val="00ED4B84"/>
    <w:rsid w:val="00ED7C60"/>
    <w:rsid w:val="00F14D75"/>
    <w:rsid w:val="00F228BE"/>
    <w:rsid w:val="00F60D5E"/>
    <w:rsid w:val="00F63398"/>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B78B7"/>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6145">
      <w:bodyDiv w:val="1"/>
      <w:marLeft w:val="0"/>
      <w:marRight w:val="0"/>
      <w:marTop w:val="0"/>
      <w:marBottom w:val="0"/>
      <w:divBdr>
        <w:top w:val="none" w:sz="0" w:space="0" w:color="auto"/>
        <w:left w:val="none" w:sz="0" w:space="0" w:color="auto"/>
        <w:bottom w:val="none" w:sz="0" w:space="0" w:color="auto"/>
        <w:right w:val="none" w:sz="0" w:space="0" w:color="auto"/>
      </w:divBdr>
    </w:div>
    <w:div w:id="547500247">
      <w:bodyDiv w:val="1"/>
      <w:marLeft w:val="0"/>
      <w:marRight w:val="0"/>
      <w:marTop w:val="0"/>
      <w:marBottom w:val="0"/>
      <w:divBdr>
        <w:top w:val="none" w:sz="0" w:space="0" w:color="auto"/>
        <w:left w:val="none" w:sz="0" w:space="0" w:color="auto"/>
        <w:bottom w:val="none" w:sz="0" w:space="0" w:color="auto"/>
        <w:right w:val="none" w:sz="0" w:space="0" w:color="auto"/>
      </w:divBdr>
    </w:div>
    <w:div w:id="1400863243">
      <w:bodyDiv w:val="1"/>
      <w:marLeft w:val="0"/>
      <w:marRight w:val="0"/>
      <w:marTop w:val="0"/>
      <w:marBottom w:val="0"/>
      <w:divBdr>
        <w:top w:val="none" w:sz="0" w:space="0" w:color="auto"/>
        <w:left w:val="none" w:sz="0" w:space="0" w:color="auto"/>
        <w:bottom w:val="none" w:sz="0" w:space="0" w:color="auto"/>
        <w:right w:val="none" w:sz="0" w:space="0" w:color="auto"/>
      </w:divBdr>
      <w:divsChild>
        <w:div w:id="1853181476">
          <w:marLeft w:val="0"/>
          <w:marRight w:val="0"/>
          <w:marTop w:val="0"/>
          <w:marBottom w:val="0"/>
          <w:divBdr>
            <w:top w:val="none" w:sz="0" w:space="0" w:color="auto"/>
            <w:left w:val="none" w:sz="0" w:space="0" w:color="auto"/>
            <w:bottom w:val="none" w:sz="0" w:space="0" w:color="auto"/>
            <w:right w:val="none" w:sz="0" w:space="0" w:color="auto"/>
          </w:divBdr>
          <w:divsChild>
            <w:div w:id="555433861">
              <w:marLeft w:val="0"/>
              <w:marRight w:val="0"/>
              <w:marTop w:val="0"/>
              <w:marBottom w:val="0"/>
              <w:divBdr>
                <w:top w:val="none" w:sz="0" w:space="0" w:color="auto"/>
                <w:left w:val="none" w:sz="0" w:space="0" w:color="auto"/>
                <w:bottom w:val="none" w:sz="0" w:space="0" w:color="auto"/>
                <w:right w:val="none" w:sz="0" w:space="0" w:color="auto"/>
              </w:divBdr>
              <w:divsChild>
                <w:div w:id="2109351373">
                  <w:marLeft w:val="0"/>
                  <w:marRight w:val="0"/>
                  <w:marTop w:val="0"/>
                  <w:marBottom w:val="0"/>
                  <w:divBdr>
                    <w:top w:val="none" w:sz="0" w:space="0" w:color="auto"/>
                    <w:left w:val="none" w:sz="0" w:space="0" w:color="auto"/>
                    <w:bottom w:val="none" w:sz="0" w:space="0" w:color="auto"/>
                    <w:right w:val="none" w:sz="0" w:space="0" w:color="auto"/>
                  </w:divBdr>
                </w:div>
                <w:div w:id="12448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6879">
          <w:marLeft w:val="75"/>
          <w:marRight w:val="0"/>
          <w:marTop w:val="0"/>
          <w:marBottom w:val="0"/>
          <w:divBdr>
            <w:top w:val="none" w:sz="0" w:space="0" w:color="auto"/>
            <w:left w:val="none" w:sz="0" w:space="0" w:color="auto"/>
            <w:bottom w:val="none" w:sz="0" w:space="0" w:color="auto"/>
            <w:right w:val="none" w:sz="0" w:space="0" w:color="auto"/>
          </w:divBdr>
        </w:div>
        <w:div w:id="2046638975">
          <w:marLeft w:val="0"/>
          <w:marRight w:val="0"/>
          <w:marTop w:val="0"/>
          <w:marBottom w:val="0"/>
          <w:divBdr>
            <w:top w:val="none" w:sz="0" w:space="0" w:color="auto"/>
            <w:left w:val="none" w:sz="0" w:space="0" w:color="auto"/>
            <w:bottom w:val="none" w:sz="0" w:space="0" w:color="auto"/>
            <w:right w:val="none" w:sz="0" w:space="0" w:color="auto"/>
          </w:divBdr>
          <w:divsChild>
            <w:div w:id="728069471">
              <w:marLeft w:val="0"/>
              <w:marRight w:val="0"/>
              <w:marTop w:val="0"/>
              <w:marBottom w:val="0"/>
              <w:divBdr>
                <w:top w:val="none" w:sz="0" w:space="0" w:color="auto"/>
                <w:left w:val="none" w:sz="0" w:space="0" w:color="auto"/>
                <w:bottom w:val="none" w:sz="0" w:space="0" w:color="auto"/>
                <w:right w:val="none" w:sz="0" w:space="0" w:color="auto"/>
              </w:divBdr>
              <w:divsChild>
                <w:div w:id="624042036">
                  <w:marLeft w:val="0"/>
                  <w:marRight w:val="0"/>
                  <w:marTop w:val="0"/>
                  <w:marBottom w:val="0"/>
                  <w:divBdr>
                    <w:top w:val="none" w:sz="0" w:space="0" w:color="auto"/>
                    <w:left w:val="none" w:sz="0" w:space="0" w:color="auto"/>
                    <w:bottom w:val="none" w:sz="0" w:space="0" w:color="auto"/>
                    <w:right w:val="none" w:sz="0" w:space="0" w:color="auto"/>
                  </w:divBdr>
                </w:div>
                <w:div w:id="2146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0952">
          <w:marLeft w:val="75"/>
          <w:marRight w:val="0"/>
          <w:marTop w:val="0"/>
          <w:marBottom w:val="0"/>
          <w:divBdr>
            <w:top w:val="none" w:sz="0" w:space="0" w:color="auto"/>
            <w:left w:val="none" w:sz="0" w:space="0" w:color="auto"/>
            <w:bottom w:val="none" w:sz="0" w:space="0" w:color="auto"/>
            <w:right w:val="none" w:sz="0" w:space="0" w:color="auto"/>
          </w:divBdr>
        </w:div>
        <w:div w:id="1951088216">
          <w:marLeft w:val="0"/>
          <w:marRight w:val="0"/>
          <w:marTop w:val="0"/>
          <w:marBottom w:val="0"/>
          <w:divBdr>
            <w:top w:val="none" w:sz="0" w:space="0" w:color="auto"/>
            <w:left w:val="none" w:sz="0" w:space="0" w:color="auto"/>
            <w:bottom w:val="none" w:sz="0" w:space="0" w:color="auto"/>
            <w:right w:val="none" w:sz="0" w:space="0" w:color="auto"/>
          </w:divBdr>
          <w:divsChild>
            <w:div w:id="160505327">
              <w:marLeft w:val="0"/>
              <w:marRight w:val="0"/>
              <w:marTop w:val="0"/>
              <w:marBottom w:val="0"/>
              <w:divBdr>
                <w:top w:val="none" w:sz="0" w:space="0" w:color="auto"/>
                <w:left w:val="none" w:sz="0" w:space="0" w:color="auto"/>
                <w:bottom w:val="none" w:sz="0" w:space="0" w:color="auto"/>
                <w:right w:val="none" w:sz="0" w:space="0" w:color="auto"/>
              </w:divBdr>
              <w:divsChild>
                <w:div w:id="2034769652">
                  <w:marLeft w:val="0"/>
                  <w:marRight w:val="0"/>
                  <w:marTop w:val="0"/>
                  <w:marBottom w:val="0"/>
                  <w:divBdr>
                    <w:top w:val="none" w:sz="0" w:space="0" w:color="auto"/>
                    <w:left w:val="none" w:sz="0" w:space="0" w:color="auto"/>
                    <w:bottom w:val="none" w:sz="0" w:space="0" w:color="auto"/>
                    <w:right w:val="none" w:sz="0" w:space="0" w:color="auto"/>
                  </w:divBdr>
                </w:div>
                <w:div w:id="4345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Lde/LS/BP2016BW/ALLG/GYM/MUS/IK/11-12/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ldungsplaene-bw.de/,Lde/LS/BP2016BW/ALLG/GYM/MUS/IK/9-10/0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12</cp:revision>
  <dcterms:created xsi:type="dcterms:W3CDTF">2020-04-09T12:50:00Z</dcterms:created>
  <dcterms:modified xsi:type="dcterms:W3CDTF">2020-04-09T17:13:00Z</dcterms:modified>
</cp:coreProperties>
</file>