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D78" w:rsidRDefault="00DC470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Medizinethik</w:t>
      </w:r>
      <w:r w:rsidR="009C5839">
        <w:rPr>
          <w:rFonts w:ascii="Cambria" w:hAnsi="Cambria"/>
          <w:sz w:val="32"/>
          <w:szCs w:val="32"/>
        </w:rPr>
        <w:t xml:space="preserve">: </w:t>
      </w:r>
    </w:p>
    <w:p w:rsidR="00CE6D95" w:rsidRDefault="0007146F" w:rsidP="00CE6D95">
      <w:pPr>
        <w:jc w:val="center"/>
        <w:rPr>
          <w:rFonts w:ascii="Times New Roman" w:eastAsia="Times New Roman" w:hAnsi="Times New Roman"/>
          <w:sz w:val="40"/>
          <w:szCs w:val="40"/>
          <w:lang w:eastAsia="de-DE"/>
        </w:rPr>
      </w:pPr>
      <w:r>
        <w:rPr>
          <w:rFonts w:ascii="Times New Roman" w:eastAsia="Times New Roman" w:hAnsi="Times New Roman"/>
          <w:sz w:val="40"/>
          <w:szCs w:val="40"/>
          <w:lang w:eastAsia="de-DE"/>
        </w:rPr>
        <w:t>Vier medizinethische Prinzipien</w:t>
      </w:r>
    </w:p>
    <w:p w:rsidR="0007146F" w:rsidRPr="00CE6D95" w:rsidRDefault="0007146F" w:rsidP="00CE6D95">
      <w:pPr>
        <w:jc w:val="center"/>
        <w:rPr>
          <w:rFonts w:ascii="Times New Roman" w:eastAsia="Times New Roman" w:hAnsi="Times New Roman"/>
          <w:sz w:val="40"/>
          <w:szCs w:val="40"/>
          <w:lang w:eastAsia="de-DE"/>
        </w:rPr>
      </w:pPr>
      <w:proofErr w:type="spellStart"/>
      <w:r w:rsidRPr="001345AB">
        <w:rPr>
          <w:rFonts w:ascii="Times New Roman" w:eastAsia="Times New Roman" w:hAnsi="Times New Roman"/>
          <w:sz w:val="40"/>
          <w:szCs w:val="40"/>
          <w:lang w:eastAsia="de-DE"/>
        </w:rPr>
        <w:t>Beauchamp</w:t>
      </w:r>
      <w:proofErr w:type="spellEnd"/>
      <w:r w:rsidRPr="001345AB">
        <w:rPr>
          <w:rFonts w:ascii="Times New Roman" w:eastAsia="Times New Roman" w:hAnsi="Times New Roman"/>
          <w:sz w:val="40"/>
          <w:szCs w:val="40"/>
          <w:lang w:eastAsia="de-DE"/>
        </w:rPr>
        <w:t xml:space="preserve"> und </w:t>
      </w:r>
      <w:proofErr w:type="spellStart"/>
      <w:r w:rsidRPr="001345AB">
        <w:rPr>
          <w:rFonts w:ascii="Times New Roman" w:eastAsia="Times New Roman" w:hAnsi="Times New Roman"/>
          <w:sz w:val="40"/>
          <w:szCs w:val="40"/>
          <w:lang w:eastAsia="de-DE"/>
        </w:rPr>
        <w:t>Childress</w:t>
      </w:r>
      <w:proofErr w:type="spellEnd"/>
      <w:r w:rsidRPr="001345AB">
        <w:rPr>
          <w:rFonts w:ascii="Times New Roman" w:eastAsia="Times New Roman" w:hAnsi="Times New Roman"/>
          <w:sz w:val="40"/>
          <w:szCs w:val="40"/>
          <w:lang w:eastAsia="de-DE"/>
        </w:rPr>
        <w:t xml:space="preserve"> (1979)</w:t>
      </w:r>
      <w:r w:rsidR="001345AB">
        <w:rPr>
          <w:rStyle w:val="Funotenzeichen"/>
          <w:rFonts w:ascii="Times New Roman" w:eastAsia="Times New Roman" w:hAnsi="Times New Roman"/>
          <w:sz w:val="40"/>
          <w:szCs w:val="40"/>
          <w:lang w:val="en-US" w:eastAsia="de-DE"/>
        </w:rPr>
        <w:footnoteReference w:id="1"/>
      </w:r>
    </w:p>
    <w:p w:rsidR="00306FA7" w:rsidRPr="001345AB" w:rsidRDefault="00306FA7" w:rsidP="00306FA7">
      <w:pPr>
        <w:jc w:val="center"/>
        <w:rPr>
          <w:rFonts w:ascii="Cambria" w:hAnsi="Cambria"/>
          <w:sz w:val="32"/>
          <w:szCs w:val="32"/>
        </w:rPr>
      </w:pPr>
    </w:p>
    <w:p w:rsidR="000A086B" w:rsidRDefault="000A086B">
      <w:pPr>
        <w:rPr>
          <w:rFonts w:ascii="Cambria" w:hAnsi="Cambria"/>
        </w:rPr>
      </w:pPr>
    </w:p>
    <w:p w:rsidR="000A086B" w:rsidRPr="00F25F2B" w:rsidRDefault="000A086B" w:rsidP="00EA0E1A">
      <w:pPr>
        <w:pStyle w:val="Listenabsatz"/>
        <w:numPr>
          <w:ilvl w:val="0"/>
          <w:numId w:val="9"/>
        </w:numPr>
        <w:jc w:val="both"/>
        <w:rPr>
          <w:rFonts w:ascii="Cambria" w:hAnsi="Cambria"/>
          <w:b/>
          <w:bCs/>
        </w:rPr>
      </w:pPr>
      <w:r w:rsidRPr="00F25F2B">
        <w:rPr>
          <w:rFonts w:ascii="Cambria" w:hAnsi="Cambria"/>
          <w:b/>
          <w:bCs/>
        </w:rPr>
        <w:t xml:space="preserve">Respekt vor der Autonomie des Patienten (engl. </w:t>
      </w:r>
      <w:proofErr w:type="spellStart"/>
      <w:r w:rsidRPr="00F25F2B">
        <w:rPr>
          <w:rFonts w:ascii="Cambria" w:hAnsi="Cambria"/>
          <w:b/>
          <w:bCs/>
        </w:rPr>
        <w:t>respect</w:t>
      </w:r>
      <w:proofErr w:type="spellEnd"/>
      <w:r w:rsidRPr="00F25F2B">
        <w:rPr>
          <w:rFonts w:ascii="Cambria" w:hAnsi="Cambria"/>
          <w:b/>
          <w:bCs/>
        </w:rPr>
        <w:t xml:space="preserve"> </w:t>
      </w:r>
      <w:proofErr w:type="spellStart"/>
      <w:r w:rsidRPr="00F25F2B">
        <w:rPr>
          <w:rFonts w:ascii="Cambria" w:hAnsi="Cambria"/>
          <w:b/>
          <w:bCs/>
        </w:rPr>
        <w:t>for</w:t>
      </w:r>
      <w:proofErr w:type="spellEnd"/>
      <w:r w:rsidRPr="00F25F2B">
        <w:rPr>
          <w:rFonts w:ascii="Cambria" w:hAnsi="Cambria"/>
          <w:b/>
          <w:bCs/>
        </w:rPr>
        <w:t xml:space="preserve"> </w:t>
      </w:r>
      <w:proofErr w:type="spellStart"/>
      <w:r w:rsidRPr="00F25F2B">
        <w:rPr>
          <w:rFonts w:ascii="Cambria" w:hAnsi="Cambria"/>
          <w:b/>
          <w:bCs/>
        </w:rPr>
        <w:t>autonomy</w:t>
      </w:r>
      <w:proofErr w:type="spellEnd"/>
      <w:r w:rsidRPr="00F25F2B">
        <w:rPr>
          <w:rFonts w:ascii="Cambria" w:hAnsi="Cambria"/>
          <w:b/>
          <w:bCs/>
        </w:rPr>
        <w:t>)</w:t>
      </w:r>
    </w:p>
    <w:p w:rsidR="000A086B" w:rsidRDefault="000A086B" w:rsidP="00EA0E1A">
      <w:pPr>
        <w:jc w:val="both"/>
        <w:rPr>
          <w:rFonts w:ascii="Cambria" w:hAnsi="Cambria"/>
        </w:rPr>
      </w:pPr>
    </w:p>
    <w:p w:rsidR="000A086B" w:rsidRDefault="004D4F5A" w:rsidP="00EA0E1A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Dieses Prinzip</w:t>
      </w:r>
      <w:r w:rsidR="000A086B">
        <w:rPr>
          <w:rFonts w:ascii="Cambria" w:hAnsi="Cambria"/>
        </w:rPr>
        <w:t xml:space="preserve"> fordert zum einen die Freiheit von Zwang oder manipulativer Einflussnahme gegenüber dem Patienten (</w:t>
      </w:r>
      <w:r w:rsidR="000A086B" w:rsidRPr="00DD6C0B">
        <w:rPr>
          <w:rFonts w:ascii="Cambria" w:hAnsi="Cambria"/>
          <w:i/>
          <w:iCs/>
        </w:rPr>
        <w:t>negative Freiheit</w:t>
      </w:r>
      <w:r w:rsidR="000A086B">
        <w:rPr>
          <w:rFonts w:ascii="Cambria" w:hAnsi="Cambria"/>
        </w:rPr>
        <w:t>). Zum anderen aber</w:t>
      </w:r>
      <w:r>
        <w:rPr>
          <w:rFonts w:ascii="Cambria" w:hAnsi="Cambria"/>
        </w:rPr>
        <w:t xml:space="preserve"> </w:t>
      </w:r>
      <w:r w:rsidR="00EA0E1A">
        <w:rPr>
          <w:rFonts w:ascii="Cambria" w:hAnsi="Cambria"/>
        </w:rPr>
        <w:t>darüber hinaus</w:t>
      </w:r>
      <w:r w:rsidR="000A086B">
        <w:rPr>
          <w:rFonts w:ascii="Cambria" w:hAnsi="Cambria"/>
        </w:rPr>
        <w:t>, dass der Arzt die</w:t>
      </w:r>
      <w:r w:rsidR="00EA0E1A">
        <w:rPr>
          <w:rFonts w:ascii="Cambria" w:hAnsi="Cambria"/>
        </w:rPr>
        <w:t xml:space="preserve"> </w:t>
      </w:r>
      <w:r w:rsidR="000A086B">
        <w:rPr>
          <w:rFonts w:ascii="Cambria" w:hAnsi="Cambria"/>
        </w:rPr>
        <w:t xml:space="preserve">Entscheidungsfreiheit </w:t>
      </w:r>
      <w:r w:rsidR="00DD6C0B">
        <w:rPr>
          <w:rFonts w:ascii="Cambria" w:hAnsi="Cambria"/>
        </w:rPr>
        <w:t>(</w:t>
      </w:r>
      <w:r w:rsidR="00DD6C0B" w:rsidRPr="00DD6C0B">
        <w:rPr>
          <w:rFonts w:ascii="Cambria" w:hAnsi="Cambria"/>
          <w:i/>
          <w:iCs/>
        </w:rPr>
        <w:t>positive Freiheit</w:t>
      </w:r>
      <w:r w:rsidR="00DD6C0B">
        <w:rPr>
          <w:rFonts w:ascii="Cambria" w:hAnsi="Cambria"/>
        </w:rPr>
        <w:t xml:space="preserve">) </w:t>
      </w:r>
      <w:r w:rsidR="000A086B">
        <w:rPr>
          <w:rFonts w:ascii="Cambria" w:hAnsi="Cambria"/>
        </w:rPr>
        <w:t xml:space="preserve">des Patienten fördert, indem er ihn aufklärt. </w:t>
      </w:r>
      <w:r w:rsidR="000134BE">
        <w:rPr>
          <w:rFonts w:ascii="Cambria" w:hAnsi="Cambria"/>
        </w:rPr>
        <w:t xml:space="preserve">Voraussetzung hierfür ist die </w:t>
      </w:r>
      <w:r w:rsidR="000134BE" w:rsidRPr="00DD6C0B">
        <w:rPr>
          <w:rFonts w:ascii="Cambria" w:hAnsi="Cambria"/>
          <w:i/>
          <w:iCs/>
        </w:rPr>
        <w:t>Aufrichtigkeit</w:t>
      </w:r>
      <w:r w:rsidR="000134B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des Arztes </w:t>
      </w:r>
      <w:r w:rsidR="003E4FD8">
        <w:rPr>
          <w:rFonts w:ascii="Cambria" w:hAnsi="Cambria"/>
        </w:rPr>
        <w:t xml:space="preserve">(engl. </w:t>
      </w:r>
      <w:proofErr w:type="spellStart"/>
      <w:r w:rsidR="003E4FD8">
        <w:rPr>
          <w:rFonts w:ascii="Cambria" w:hAnsi="Cambria"/>
        </w:rPr>
        <w:t>veracity</w:t>
      </w:r>
      <w:proofErr w:type="spellEnd"/>
      <w:r w:rsidR="003E4FD8">
        <w:rPr>
          <w:rFonts w:ascii="Cambria" w:hAnsi="Cambria"/>
        </w:rPr>
        <w:t>)</w:t>
      </w:r>
      <w:r w:rsidR="00776656">
        <w:rPr>
          <w:rFonts w:ascii="Cambria" w:hAnsi="Cambria"/>
        </w:rPr>
        <w:t>, ein</w:t>
      </w:r>
      <w:r w:rsidR="003E4FD8">
        <w:rPr>
          <w:rFonts w:ascii="Cambria" w:hAnsi="Cambria"/>
        </w:rPr>
        <w:t xml:space="preserve"> </w:t>
      </w:r>
      <w:r w:rsidR="003E4FD8" w:rsidRPr="00DD6C0B">
        <w:rPr>
          <w:rFonts w:ascii="Cambria" w:hAnsi="Cambria"/>
          <w:i/>
          <w:iCs/>
        </w:rPr>
        <w:t>Vertrauens</w:t>
      </w:r>
      <w:r w:rsidR="00776656">
        <w:rPr>
          <w:rFonts w:ascii="Cambria" w:hAnsi="Cambria"/>
        </w:rPr>
        <w:t xml:space="preserve">- </w:t>
      </w:r>
      <w:r w:rsidR="003E4FD8">
        <w:rPr>
          <w:rFonts w:ascii="Cambria" w:hAnsi="Cambria"/>
        </w:rPr>
        <w:t xml:space="preserve">(engl. </w:t>
      </w:r>
      <w:proofErr w:type="spellStart"/>
      <w:r w:rsidR="003E4FD8">
        <w:rPr>
          <w:rFonts w:ascii="Cambria" w:hAnsi="Cambria"/>
        </w:rPr>
        <w:t>confidentiality</w:t>
      </w:r>
      <w:proofErr w:type="spellEnd"/>
      <w:r w:rsidR="003E4FD8">
        <w:rPr>
          <w:rFonts w:ascii="Cambria" w:hAnsi="Cambria"/>
        </w:rPr>
        <w:t xml:space="preserve">) </w:t>
      </w:r>
      <w:r w:rsidR="00776656">
        <w:rPr>
          <w:rFonts w:ascii="Cambria" w:hAnsi="Cambria"/>
        </w:rPr>
        <w:t xml:space="preserve">und </w:t>
      </w:r>
      <w:r w:rsidR="00776656" w:rsidRPr="00DD6C0B">
        <w:rPr>
          <w:rFonts w:ascii="Cambria" w:hAnsi="Cambria"/>
          <w:i/>
          <w:iCs/>
        </w:rPr>
        <w:t>Treueverhältnis</w:t>
      </w:r>
      <w:r w:rsidR="00776656">
        <w:rPr>
          <w:rFonts w:ascii="Cambria" w:hAnsi="Cambria"/>
        </w:rPr>
        <w:t xml:space="preserve"> (engl. </w:t>
      </w:r>
      <w:proofErr w:type="spellStart"/>
      <w:r w:rsidR="00776656">
        <w:rPr>
          <w:rFonts w:ascii="Cambria" w:hAnsi="Cambria"/>
        </w:rPr>
        <w:t>fidelity</w:t>
      </w:r>
      <w:proofErr w:type="spellEnd"/>
      <w:r w:rsidR="00776656">
        <w:rPr>
          <w:rFonts w:ascii="Cambria" w:hAnsi="Cambria"/>
        </w:rPr>
        <w:t xml:space="preserve">) </w:t>
      </w:r>
      <w:r w:rsidR="003E4FD8">
        <w:rPr>
          <w:rFonts w:ascii="Cambria" w:hAnsi="Cambria"/>
        </w:rPr>
        <w:t>zwischen Arzt und Patient</w:t>
      </w:r>
      <w:r w:rsidR="00776656">
        <w:rPr>
          <w:rFonts w:ascii="Cambria" w:hAnsi="Cambria"/>
        </w:rPr>
        <w:t xml:space="preserve"> sowie </w:t>
      </w:r>
      <w:r w:rsidR="009C5789">
        <w:rPr>
          <w:rFonts w:ascii="Cambria" w:hAnsi="Cambria"/>
        </w:rPr>
        <w:t xml:space="preserve">die Achtung der </w:t>
      </w:r>
      <w:r w:rsidR="009C5789" w:rsidRPr="00DD6C0B">
        <w:rPr>
          <w:rFonts w:ascii="Cambria" w:hAnsi="Cambria"/>
          <w:i/>
          <w:iCs/>
        </w:rPr>
        <w:t>Privatsphäre</w:t>
      </w:r>
      <w:r w:rsidR="009C5789">
        <w:rPr>
          <w:rFonts w:ascii="Cambria" w:hAnsi="Cambria"/>
        </w:rPr>
        <w:t xml:space="preserve"> </w:t>
      </w:r>
      <w:r w:rsidR="003E4FD8">
        <w:rPr>
          <w:rFonts w:ascii="Cambria" w:hAnsi="Cambria"/>
        </w:rPr>
        <w:t xml:space="preserve">(engl. </w:t>
      </w:r>
      <w:proofErr w:type="spellStart"/>
      <w:r w:rsidR="003E4FD8">
        <w:rPr>
          <w:rFonts w:ascii="Cambria" w:hAnsi="Cambria"/>
        </w:rPr>
        <w:t>privacy</w:t>
      </w:r>
      <w:proofErr w:type="spellEnd"/>
      <w:r w:rsidR="003E4FD8">
        <w:rPr>
          <w:rFonts w:ascii="Cambria" w:hAnsi="Cambria"/>
        </w:rPr>
        <w:t>)</w:t>
      </w:r>
      <w:r w:rsidR="00776656">
        <w:rPr>
          <w:rFonts w:ascii="Cambria" w:hAnsi="Cambria"/>
        </w:rPr>
        <w:t xml:space="preserve"> des Patienten. </w:t>
      </w:r>
      <w:r w:rsidR="000A086B">
        <w:rPr>
          <w:rFonts w:ascii="Cambria" w:hAnsi="Cambria"/>
        </w:rPr>
        <w:t>In der Praxis findet dieses Prinzip seinen Ausdruck i</w:t>
      </w:r>
      <w:r w:rsidR="00163027">
        <w:rPr>
          <w:rFonts w:ascii="Cambria" w:hAnsi="Cambria"/>
        </w:rPr>
        <w:t>n der</w:t>
      </w:r>
      <w:r w:rsidR="000A086B">
        <w:rPr>
          <w:rFonts w:ascii="Cambria" w:hAnsi="Cambria"/>
        </w:rPr>
        <w:t xml:space="preserve"> </w:t>
      </w:r>
      <w:r w:rsidR="000A086B" w:rsidRPr="00DD6C0B">
        <w:rPr>
          <w:rFonts w:ascii="Cambria" w:hAnsi="Cambria"/>
          <w:i/>
          <w:iCs/>
        </w:rPr>
        <w:t xml:space="preserve">informierten </w:t>
      </w:r>
      <w:r w:rsidR="00163027" w:rsidRPr="00DD6C0B">
        <w:rPr>
          <w:rFonts w:ascii="Cambria" w:hAnsi="Cambria"/>
          <w:i/>
          <w:iCs/>
        </w:rPr>
        <w:t>Einwilligung</w:t>
      </w:r>
      <w:r w:rsidR="000A086B">
        <w:rPr>
          <w:rFonts w:ascii="Cambria" w:hAnsi="Cambria"/>
        </w:rPr>
        <w:t xml:space="preserve"> </w:t>
      </w:r>
      <w:r w:rsidR="00163027">
        <w:rPr>
          <w:rFonts w:ascii="Cambria" w:hAnsi="Cambria"/>
        </w:rPr>
        <w:t xml:space="preserve">(engl. </w:t>
      </w:r>
      <w:proofErr w:type="spellStart"/>
      <w:r w:rsidR="00163027">
        <w:rPr>
          <w:rFonts w:ascii="Cambria" w:hAnsi="Cambria"/>
        </w:rPr>
        <w:t>informed</w:t>
      </w:r>
      <w:proofErr w:type="spellEnd"/>
      <w:r w:rsidR="00163027">
        <w:rPr>
          <w:rFonts w:ascii="Cambria" w:hAnsi="Cambria"/>
        </w:rPr>
        <w:t xml:space="preserve"> </w:t>
      </w:r>
      <w:proofErr w:type="spellStart"/>
      <w:r w:rsidR="00163027">
        <w:rPr>
          <w:rFonts w:ascii="Cambria" w:hAnsi="Cambria"/>
        </w:rPr>
        <w:t>consent</w:t>
      </w:r>
      <w:proofErr w:type="spellEnd"/>
      <w:r w:rsidR="00163027">
        <w:rPr>
          <w:rFonts w:ascii="Cambria" w:hAnsi="Cambria"/>
        </w:rPr>
        <w:t xml:space="preserve">), </w:t>
      </w:r>
      <w:r w:rsidR="009E3463">
        <w:rPr>
          <w:rFonts w:ascii="Cambria" w:hAnsi="Cambria"/>
        </w:rPr>
        <w:t>die</w:t>
      </w:r>
      <w:r w:rsidR="00163027">
        <w:rPr>
          <w:rFonts w:ascii="Cambria" w:hAnsi="Cambria"/>
        </w:rPr>
        <w:t xml:space="preserve"> jeder medizinischen Maßnahme vorausgehen soll und </w:t>
      </w:r>
      <w:r w:rsidR="00DD6C0B">
        <w:rPr>
          <w:rFonts w:ascii="Cambria" w:hAnsi="Cambria"/>
        </w:rPr>
        <w:t>welche die</w:t>
      </w:r>
      <w:r w:rsidR="00163027">
        <w:rPr>
          <w:rFonts w:ascii="Cambria" w:hAnsi="Cambria"/>
        </w:rPr>
        <w:t xml:space="preserve"> Berücksichtigung der Wertvorstellungen, Wünsche und Interessen des Patienten</w:t>
      </w:r>
      <w:r w:rsidR="00DD6C0B">
        <w:rPr>
          <w:rFonts w:ascii="Cambria" w:hAnsi="Cambria"/>
        </w:rPr>
        <w:t xml:space="preserve"> bedingt</w:t>
      </w:r>
      <w:r w:rsidR="00163027">
        <w:rPr>
          <w:rFonts w:ascii="Cambria" w:hAnsi="Cambria"/>
        </w:rPr>
        <w:t xml:space="preserve">. Eine </w:t>
      </w:r>
      <w:r w:rsidR="00163027" w:rsidRPr="004D4F5A">
        <w:rPr>
          <w:rFonts w:ascii="Cambria" w:hAnsi="Cambria"/>
        </w:rPr>
        <w:t>informierte</w:t>
      </w:r>
      <w:r w:rsidR="00163027" w:rsidRPr="00DD6C0B">
        <w:rPr>
          <w:rFonts w:ascii="Cambria" w:hAnsi="Cambria"/>
        </w:rPr>
        <w:t xml:space="preserve"> Einwilligung</w:t>
      </w:r>
      <w:r w:rsidR="00163027">
        <w:rPr>
          <w:rFonts w:ascii="Cambria" w:hAnsi="Cambria"/>
        </w:rPr>
        <w:t xml:space="preserve"> liegt </w:t>
      </w:r>
      <w:r>
        <w:rPr>
          <w:rFonts w:ascii="Cambria" w:hAnsi="Cambria"/>
        </w:rPr>
        <w:t xml:space="preserve">dann </w:t>
      </w:r>
      <w:r w:rsidR="00163027">
        <w:rPr>
          <w:rFonts w:ascii="Cambria" w:hAnsi="Cambria"/>
        </w:rPr>
        <w:t>vor, wenn der Patient ausreichend aufgeklärt worden ist, die Aufklärung verstanden hat, freiwillig entscheidet, dabei entscheidungsfähig ist und aktiv seine Zustimmung gibt.</w:t>
      </w:r>
    </w:p>
    <w:p w:rsidR="00FB38A1" w:rsidRDefault="00FB38A1" w:rsidP="00EA0E1A">
      <w:pPr>
        <w:jc w:val="both"/>
        <w:rPr>
          <w:rFonts w:ascii="Cambria" w:hAnsi="Cambria"/>
        </w:rPr>
      </w:pPr>
    </w:p>
    <w:p w:rsidR="00163027" w:rsidRPr="00F25F2B" w:rsidRDefault="00FC6FD4" w:rsidP="00EA0E1A">
      <w:pPr>
        <w:pStyle w:val="Listenabsatz"/>
        <w:numPr>
          <w:ilvl w:val="0"/>
          <w:numId w:val="9"/>
        </w:numPr>
        <w:jc w:val="both"/>
        <w:rPr>
          <w:rFonts w:ascii="Cambria" w:hAnsi="Cambria"/>
          <w:b/>
          <w:bCs/>
        </w:rPr>
      </w:pPr>
      <w:r w:rsidRPr="00F25F2B">
        <w:rPr>
          <w:rFonts w:ascii="Cambria" w:hAnsi="Cambria"/>
          <w:b/>
          <w:bCs/>
        </w:rPr>
        <w:t>Prinzip des Nicht-Schadens</w:t>
      </w:r>
      <w:r w:rsidR="00DF5AAA" w:rsidRPr="00F25F2B">
        <w:rPr>
          <w:rFonts w:ascii="Cambria" w:hAnsi="Cambria"/>
          <w:b/>
          <w:bCs/>
        </w:rPr>
        <w:t xml:space="preserve"> (engl. non-</w:t>
      </w:r>
      <w:proofErr w:type="spellStart"/>
      <w:r w:rsidR="00DF5AAA" w:rsidRPr="00F25F2B">
        <w:rPr>
          <w:rFonts w:ascii="Cambria" w:hAnsi="Cambria"/>
          <w:b/>
          <w:bCs/>
        </w:rPr>
        <w:t>maleficence</w:t>
      </w:r>
      <w:proofErr w:type="spellEnd"/>
      <w:r w:rsidR="00DF5AAA" w:rsidRPr="00F25F2B">
        <w:rPr>
          <w:rFonts w:ascii="Cambria" w:hAnsi="Cambria"/>
          <w:b/>
          <w:bCs/>
        </w:rPr>
        <w:t>)</w:t>
      </w:r>
    </w:p>
    <w:p w:rsidR="00DF5AAA" w:rsidRDefault="00DF5AAA" w:rsidP="00EA0E1A">
      <w:pPr>
        <w:jc w:val="both"/>
        <w:rPr>
          <w:rFonts w:ascii="Cambria" w:hAnsi="Cambria"/>
        </w:rPr>
      </w:pPr>
    </w:p>
    <w:p w:rsidR="00DF5AAA" w:rsidRDefault="00DF5AAA" w:rsidP="00EA0E1A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Dieses Prinzip geht </w:t>
      </w:r>
      <w:r w:rsidR="004D4F5A">
        <w:rPr>
          <w:rFonts w:ascii="Cambria" w:hAnsi="Cambria"/>
        </w:rPr>
        <w:t>bis in</w:t>
      </w:r>
      <w:r>
        <w:rPr>
          <w:rFonts w:ascii="Cambria" w:hAnsi="Cambria"/>
        </w:rPr>
        <w:t xml:space="preserve"> die Antike zurück (lat. </w:t>
      </w:r>
      <w:proofErr w:type="spellStart"/>
      <w:r>
        <w:rPr>
          <w:rFonts w:ascii="Cambria" w:hAnsi="Cambria"/>
        </w:rPr>
        <w:t>primum</w:t>
      </w:r>
      <w:proofErr w:type="spellEnd"/>
      <w:r>
        <w:rPr>
          <w:rFonts w:ascii="Cambria" w:hAnsi="Cambria"/>
        </w:rPr>
        <w:t xml:space="preserve"> non </w:t>
      </w:r>
      <w:proofErr w:type="spellStart"/>
      <w:r>
        <w:rPr>
          <w:rFonts w:ascii="Cambria" w:hAnsi="Cambria"/>
        </w:rPr>
        <w:t>nocere</w:t>
      </w:r>
      <w:proofErr w:type="spellEnd"/>
      <w:r w:rsidR="009E3463">
        <w:rPr>
          <w:rFonts w:ascii="Cambria" w:hAnsi="Cambria"/>
        </w:rPr>
        <w:t>; dt. erstens nicht schaden)</w:t>
      </w:r>
      <w:r w:rsidR="00776656">
        <w:rPr>
          <w:rFonts w:ascii="Cambria" w:hAnsi="Cambria"/>
        </w:rPr>
        <w:t xml:space="preserve"> und stellt den Kern des hippokratische</w:t>
      </w:r>
      <w:r w:rsidR="004D4F5A">
        <w:rPr>
          <w:rFonts w:ascii="Cambria" w:hAnsi="Cambria"/>
        </w:rPr>
        <w:t>n</w:t>
      </w:r>
      <w:r w:rsidR="00776656">
        <w:rPr>
          <w:rFonts w:ascii="Cambria" w:hAnsi="Cambria"/>
        </w:rPr>
        <w:t xml:space="preserve"> Eides dar. Es</w:t>
      </w:r>
      <w:r>
        <w:rPr>
          <w:rFonts w:ascii="Cambria" w:hAnsi="Cambria"/>
        </w:rPr>
        <w:t xml:space="preserve"> beinhaltet das </w:t>
      </w:r>
      <w:r w:rsidRPr="00DD6C0B">
        <w:rPr>
          <w:rFonts w:ascii="Cambria" w:hAnsi="Cambria"/>
          <w:i/>
          <w:iCs/>
        </w:rPr>
        <w:t>Verbot</w:t>
      </w:r>
      <w:r>
        <w:rPr>
          <w:rFonts w:ascii="Cambria" w:hAnsi="Cambria"/>
        </w:rPr>
        <w:t xml:space="preserve">, dem </w:t>
      </w:r>
      <w:r w:rsidRPr="00DD6C0B">
        <w:rPr>
          <w:rFonts w:ascii="Cambria" w:hAnsi="Cambria"/>
          <w:i/>
          <w:iCs/>
        </w:rPr>
        <w:t xml:space="preserve">Patienten </w:t>
      </w:r>
      <w:r w:rsidR="006A4AE3" w:rsidRPr="00DD6C0B">
        <w:rPr>
          <w:rFonts w:ascii="Cambria" w:hAnsi="Cambria"/>
          <w:i/>
          <w:iCs/>
        </w:rPr>
        <w:t>Schaden zuzufügen</w:t>
      </w:r>
      <w:r>
        <w:rPr>
          <w:rFonts w:ascii="Cambria" w:hAnsi="Cambria"/>
        </w:rPr>
        <w:t xml:space="preserve">. </w:t>
      </w:r>
      <w:r w:rsidR="00DD6C0B">
        <w:rPr>
          <w:rFonts w:ascii="Cambria" w:hAnsi="Cambria"/>
        </w:rPr>
        <w:t>I</w:t>
      </w:r>
      <w:r w:rsidR="006A4AE3">
        <w:rPr>
          <w:rFonts w:ascii="Cambria" w:hAnsi="Cambria"/>
        </w:rPr>
        <w:t xml:space="preserve">hm kommt in therapeutischen Kontexten eine besondere Bedeutung zu, weil kaum eine Therapie nebenwirkungsfrei ist (etwa Chemotherapie).  Dies erfordert in jedem einzelnen Fall </w:t>
      </w:r>
      <w:r w:rsidR="006A4AE3" w:rsidRPr="004D4F5A">
        <w:rPr>
          <w:rFonts w:ascii="Cambria" w:hAnsi="Cambria"/>
          <w:i/>
          <w:iCs/>
        </w:rPr>
        <w:t>Nutzen</w:t>
      </w:r>
      <w:r w:rsidR="006A4AE3">
        <w:rPr>
          <w:rFonts w:ascii="Cambria" w:hAnsi="Cambria"/>
        </w:rPr>
        <w:t xml:space="preserve">, </w:t>
      </w:r>
      <w:r w:rsidR="006A4AE3" w:rsidRPr="004D4F5A">
        <w:rPr>
          <w:rFonts w:ascii="Cambria" w:hAnsi="Cambria"/>
          <w:i/>
          <w:iCs/>
        </w:rPr>
        <w:t>Schaden</w:t>
      </w:r>
      <w:r w:rsidR="006A4AE3">
        <w:rPr>
          <w:rFonts w:ascii="Cambria" w:hAnsi="Cambria"/>
        </w:rPr>
        <w:t xml:space="preserve"> und </w:t>
      </w:r>
      <w:r w:rsidR="006A4AE3" w:rsidRPr="004D4F5A">
        <w:rPr>
          <w:rFonts w:ascii="Cambria" w:hAnsi="Cambria"/>
          <w:i/>
          <w:iCs/>
        </w:rPr>
        <w:t>Risiko</w:t>
      </w:r>
      <w:r w:rsidR="006A4AE3">
        <w:rPr>
          <w:rFonts w:ascii="Cambria" w:hAnsi="Cambria"/>
        </w:rPr>
        <w:t xml:space="preserve"> ein</w:t>
      </w:r>
      <w:r w:rsidR="00F26419">
        <w:rPr>
          <w:rFonts w:ascii="Cambria" w:hAnsi="Cambria"/>
        </w:rPr>
        <w:t>er</w:t>
      </w:r>
      <w:r w:rsidR="006A4AE3">
        <w:rPr>
          <w:rFonts w:ascii="Cambria" w:hAnsi="Cambria"/>
        </w:rPr>
        <w:t xml:space="preserve"> Maßnahme für den Patienten zu analysieren</w:t>
      </w:r>
      <w:r w:rsidR="00F17FD9">
        <w:rPr>
          <w:rFonts w:ascii="Cambria" w:hAnsi="Cambria"/>
        </w:rPr>
        <w:t xml:space="preserve">, zu bewerten und </w:t>
      </w:r>
      <w:r w:rsidR="006A4AE3">
        <w:rPr>
          <w:rFonts w:ascii="Cambria" w:hAnsi="Cambria"/>
        </w:rPr>
        <w:t>abzuwägen.</w:t>
      </w:r>
    </w:p>
    <w:p w:rsidR="00DF5AAA" w:rsidRPr="00DF5AAA" w:rsidRDefault="00DF5AAA" w:rsidP="00EA0E1A">
      <w:pPr>
        <w:jc w:val="both"/>
        <w:rPr>
          <w:rFonts w:ascii="Cambria" w:hAnsi="Cambria"/>
        </w:rPr>
      </w:pPr>
    </w:p>
    <w:p w:rsidR="00FC6FD4" w:rsidRPr="00F25F2B" w:rsidRDefault="00FC6FD4" w:rsidP="00EA0E1A">
      <w:pPr>
        <w:pStyle w:val="Listenabsatz"/>
        <w:numPr>
          <w:ilvl w:val="0"/>
          <w:numId w:val="9"/>
        </w:numPr>
        <w:jc w:val="both"/>
        <w:rPr>
          <w:rFonts w:ascii="Cambria" w:hAnsi="Cambria"/>
          <w:b/>
          <w:bCs/>
        </w:rPr>
      </w:pPr>
      <w:r w:rsidRPr="00F25F2B">
        <w:rPr>
          <w:rFonts w:ascii="Cambria" w:hAnsi="Cambria"/>
          <w:b/>
          <w:bCs/>
        </w:rPr>
        <w:t>Prinzip des Wohltuns</w:t>
      </w:r>
      <w:r w:rsidR="00DF5AAA" w:rsidRPr="00F25F2B">
        <w:rPr>
          <w:rFonts w:ascii="Cambria" w:hAnsi="Cambria"/>
          <w:b/>
          <w:bCs/>
        </w:rPr>
        <w:t xml:space="preserve"> (engl. </w:t>
      </w:r>
      <w:proofErr w:type="spellStart"/>
      <w:r w:rsidR="00DF5AAA" w:rsidRPr="00F25F2B">
        <w:rPr>
          <w:rFonts w:ascii="Cambria" w:hAnsi="Cambria"/>
          <w:b/>
          <w:bCs/>
        </w:rPr>
        <w:t>benificence</w:t>
      </w:r>
      <w:proofErr w:type="spellEnd"/>
      <w:r w:rsidR="00DF5AAA" w:rsidRPr="00F25F2B">
        <w:rPr>
          <w:rFonts w:ascii="Cambria" w:hAnsi="Cambria"/>
          <w:b/>
          <w:bCs/>
        </w:rPr>
        <w:t>)</w:t>
      </w:r>
    </w:p>
    <w:p w:rsidR="00DF5AAA" w:rsidRDefault="00DF5AAA" w:rsidP="00EA0E1A">
      <w:pPr>
        <w:jc w:val="both"/>
        <w:rPr>
          <w:rFonts w:ascii="Cambria" w:hAnsi="Cambria"/>
        </w:rPr>
      </w:pPr>
    </w:p>
    <w:p w:rsidR="00DF5AAA" w:rsidRDefault="006A4AE3" w:rsidP="00EA0E1A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Dieses Prinzip ist das Gegenstück zum Schadensverbot: Es beinhaltet das </w:t>
      </w:r>
      <w:r w:rsidRPr="00776656">
        <w:rPr>
          <w:rFonts w:ascii="Cambria" w:hAnsi="Cambria"/>
          <w:i/>
          <w:iCs/>
        </w:rPr>
        <w:t>Gebot</w:t>
      </w:r>
      <w:r>
        <w:rPr>
          <w:rFonts w:ascii="Cambria" w:hAnsi="Cambria"/>
        </w:rPr>
        <w:t xml:space="preserve">, </w:t>
      </w:r>
      <w:r w:rsidRPr="00DD6C0B">
        <w:rPr>
          <w:rFonts w:ascii="Cambria" w:hAnsi="Cambria"/>
          <w:i/>
          <w:iCs/>
        </w:rPr>
        <w:t>Schaden</w:t>
      </w:r>
      <w:r>
        <w:rPr>
          <w:rFonts w:ascii="Cambria" w:hAnsi="Cambria"/>
        </w:rPr>
        <w:t xml:space="preserve"> beim Patienten </w:t>
      </w:r>
      <w:r w:rsidRPr="00DD6C0B">
        <w:rPr>
          <w:rFonts w:ascii="Cambria" w:hAnsi="Cambria"/>
          <w:i/>
          <w:iCs/>
        </w:rPr>
        <w:t xml:space="preserve">zu </w:t>
      </w:r>
      <w:r w:rsidR="00F26419" w:rsidRPr="00DD6C0B">
        <w:rPr>
          <w:rFonts w:ascii="Cambria" w:hAnsi="Cambria"/>
          <w:i/>
          <w:iCs/>
        </w:rPr>
        <w:t>verhindern</w:t>
      </w:r>
      <w:r w:rsidR="00776656">
        <w:rPr>
          <w:rFonts w:ascii="Cambria" w:hAnsi="Cambria"/>
        </w:rPr>
        <w:t xml:space="preserve"> und </w:t>
      </w:r>
      <w:r w:rsidR="00F26419" w:rsidRPr="00DD6C0B">
        <w:rPr>
          <w:rFonts w:ascii="Cambria" w:hAnsi="Cambria"/>
          <w:i/>
          <w:iCs/>
        </w:rPr>
        <w:t xml:space="preserve">zu </w:t>
      </w:r>
      <w:r w:rsidRPr="00DD6C0B">
        <w:rPr>
          <w:rFonts w:ascii="Cambria" w:hAnsi="Cambria"/>
          <w:i/>
          <w:iCs/>
        </w:rPr>
        <w:t>beseitigen</w:t>
      </w:r>
      <w:r>
        <w:rPr>
          <w:rFonts w:ascii="Cambria" w:hAnsi="Cambria"/>
        </w:rPr>
        <w:t xml:space="preserve"> und darüber hinaus sein </w:t>
      </w:r>
      <w:r w:rsidRPr="00AA6F94">
        <w:rPr>
          <w:rFonts w:ascii="Cambria" w:hAnsi="Cambria"/>
          <w:i/>
          <w:iCs/>
        </w:rPr>
        <w:t>Wohl</w:t>
      </w:r>
      <w:r w:rsidR="00776656">
        <w:rPr>
          <w:rFonts w:ascii="Cambria" w:hAnsi="Cambria"/>
        </w:rPr>
        <w:t xml:space="preserve"> </w:t>
      </w:r>
      <w:r w:rsidR="00F26419">
        <w:rPr>
          <w:rFonts w:ascii="Cambria" w:hAnsi="Cambria"/>
        </w:rPr>
        <w:t>aktiv z</w:t>
      </w:r>
      <w:r>
        <w:rPr>
          <w:rFonts w:ascii="Cambria" w:hAnsi="Cambria"/>
        </w:rPr>
        <w:t xml:space="preserve">u </w:t>
      </w:r>
      <w:r w:rsidRPr="00DD6C0B">
        <w:rPr>
          <w:rFonts w:ascii="Cambria" w:hAnsi="Cambria"/>
          <w:i/>
          <w:iCs/>
        </w:rPr>
        <w:t>fördern</w:t>
      </w:r>
      <w:r>
        <w:rPr>
          <w:rFonts w:ascii="Cambria" w:hAnsi="Cambria"/>
        </w:rPr>
        <w:t xml:space="preserve">. </w:t>
      </w:r>
      <w:r w:rsidR="00AA6F94">
        <w:rPr>
          <w:rFonts w:ascii="Cambria" w:hAnsi="Cambria"/>
        </w:rPr>
        <w:t xml:space="preserve">Um die </w:t>
      </w:r>
      <w:r w:rsidR="00AA6F94">
        <w:rPr>
          <w:rFonts w:ascii="Cambria" w:hAnsi="Cambria"/>
          <w:i/>
          <w:iCs/>
        </w:rPr>
        <w:t xml:space="preserve">Nützlichkeit </w:t>
      </w:r>
      <w:r w:rsidR="00AA6F94">
        <w:rPr>
          <w:rFonts w:ascii="Cambria" w:hAnsi="Cambria"/>
        </w:rPr>
        <w:t xml:space="preserve">einer Maßnahme im Einzelfall zu bestimmen, bedarf es </w:t>
      </w:r>
      <w:r>
        <w:rPr>
          <w:rFonts w:ascii="Cambria" w:hAnsi="Cambria"/>
        </w:rPr>
        <w:t xml:space="preserve">notwendig </w:t>
      </w:r>
      <w:r w:rsidR="00AA6F94">
        <w:rPr>
          <w:rFonts w:ascii="Cambria" w:hAnsi="Cambria"/>
        </w:rPr>
        <w:t>der</w:t>
      </w:r>
      <w:r>
        <w:rPr>
          <w:rFonts w:ascii="Cambria" w:hAnsi="Cambria"/>
        </w:rPr>
        <w:t xml:space="preserve"> Analyse</w:t>
      </w:r>
      <w:r w:rsidR="00F17FD9">
        <w:rPr>
          <w:rFonts w:ascii="Cambria" w:hAnsi="Cambria"/>
        </w:rPr>
        <w:t xml:space="preserve">, Bewertung und </w:t>
      </w:r>
      <w:r>
        <w:rPr>
          <w:rFonts w:ascii="Cambria" w:hAnsi="Cambria"/>
        </w:rPr>
        <w:t xml:space="preserve">Abwägung von </w:t>
      </w:r>
      <w:r w:rsidRPr="004D4F5A">
        <w:rPr>
          <w:rFonts w:ascii="Cambria" w:hAnsi="Cambria"/>
          <w:i/>
          <w:iCs/>
        </w:rPr>
        <w:t>Nutzen</w:t>
      </w:r>
      <w:r>
        <w:rPr>
          <w:rFonts w:ascii="Cambria" w:hAnsi="Cambria"/>
        </w:rPr>
        <w:t xml:space="preserve">, </w:t>
      </w:r>
      <w:r w:rsidRPr="004D4F5A">
        <w:rPr>
          <w:rFonts w:ascii="Cambria" w:hAnsi="Cambria"/>
          <w:i/>
          <w:iCs/>
        </w:rPr>
        <w:t>Schaden</w:t>
      </w:r>
      <w:r>
        <w:rPr>
          <w:rFonts w:ascii="Cambria" w:hAnsi="Cambria"/>
        </w:rPr>
        <w:t xml:space="preserve"> und </w:t>
      </w:r>
      <w:r w:rsidRPr="004D4F5A">
        <w:rPr>
          <w:rFonts w:ascii="Cambria" w:hAnsi="Cambria"/>
          <w:i/>
          <w:iCs/>
        </w:rPr>
        <w:t>Risiko</w:t>
      </w:r>
      <w:r w:rsidR="00DD6C0B">
        <w:rPr>
          <w:rFonts w:ascii="Cambria" w:hAnsi="Cambria"/>
        </w:rPr>
        <w:t xml:space="preserve"> für den Patienten</w:t>
      </w:r>
      <w:r w:rsidR="00F17FD9">
        <w:rPr>
          <w:rFonts w:ascii="Cambria" w:hAnsi="Cambria"/>
        </w:rPr>
        <w:t>.</w:t>
      </w:r>
    </w:p>
    <w:p w:rsidR="006A4AE3" w:rsidRPr="00DF5AAA" w:rsidRDefault="006A4AE3" w:rsidP="00EA0E1A">
      <w:pPr>
        <w:ind w:left="360"/>
        <w:jc w:val="both"/>
        <w:rPr>
          <w:rFonts w:ascii="Cambria" w:hAnsi="Cambria"/>
        </w:rPr>
      </w:pPr>
    </w:p>
    <w:p w:rsidR="00FC6FD4" w:rsidRPr="00F25F2B" w:rsidRDefault="00FC6FD4" w:rsidP="00EA0E1A">
      <w:pPr>
        <w:pStyle w:val="Listenabsatz"/>
        <w:numPr>
          <w:ilvl w:val="0"/>
          <w:numId w:val="9"/>
        </w:numPr>
        <w:jc w:val="both"/>
        <w:rPr>
          <w:rFonts w:ascii="Cambria" w:hAnsi="Cambria"/>
          <w:b/>
          <w:bCs/>
        </w:rPr>
      </w:pPr>
      <w:r w:rsidRPr="00F25F2B">
        <w:rPr>
          <w:rFonts w:ascii="Cambria" w:hAnsi="Cambria"/>
          <w:b/>
          <w:bCs/>
        </w:rPr>
        <w:t>Prinzip der Gerechtigkeit</w:t>
      </w:r>
      <w:r w:rsidR="004D4F5A" w:rsidRPr="00F25F2B">
        <w:rPr>
          <w:rFonts w:ascii="Cambria" w:hAnsi="Cambria"/>
          <w:b/>
          <w:bCs/>
        </w:rPr>
        <w:t xml:space="preserve"> (engl. </w:t>
      </w:r>
      <w:proofErr w:type="spellStart"/>
      <w:r w:rsidR="004D4F5A" w:rsidRPr="00F25F2B">
        <w:rPr>
          <w:rFonts w:ascii="Cambria" w:hAnsi="Cambria"/>
          <w:b/>
          <w:bCs/>
        </w:rPr>
        <w:t>justice</w:t>
      </w:r>
      <w:proofErr w:type="spellEnd"/>
      <w:r w:rsidR="004D4F5A" w:rsidRPr="00F25F2B">
        <w:rPr>
          <w:rFonts w:ascii="Cambria" w:hAnsi="Cambria"/>
          <w:b/>
          <w:bCs/>
        </w:rPr>
        <w:t>)</w:t>
      </w:r>
    </w:p>
    <w:p w:rsidR="00D54CDC" w:rsidRDefault="00D54CDC" w:rsidP="00EA0E1A">
      <w:pPr>
        <w:jc w:val="both"/>
        <w:rPr>
          <w:rFonts w:ascii="Cambria" w:hAnsi="Cambria"/>
        </w:rPr>
      </w:pPr>
    </w:p>
    <w:p w:rsidR="003E3691" w:rsidRPr="00306FA7" w:rsidRDefault="00F26419" w:rsidP="00EA0E1A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Das vierte Prinzip fordert die Orientierung an </w:t>
      </w:r>
      <w:r w:rsidR="00EA0E1A">
        <w:rPr>
          <w:rFonts w:ascii="Cambria" w:hAnsi="Cambria"/>
        </w:rPr>
        <w:t xml:space="preserve">der </w:t>
      </w:r>
      <w:r>
        <w:rPr>
          <w:rFonts w:ascii="Cambria" w:hAnsi="Cambria"/>
        </w:rPr>
        <w:t xml:space="preserve">Gerechtigkeit bei medizinischen Entscheidungen. </w:t>
      </w:r>
      <w:r w:rsidR="00F17FD9">
        <w:rPr>
          <w:rFonts w:ascii="Cambria" w:hAnsi="Cambria"/>
        </w:rPr>
        <w:t xml:space="preserve">Allgemein kann darunter eine </w:t>
      </w:r>
      <w:r w:rsidR="00F17FD9" w:rsidRPr="004D4F5A">
        <w:rPr>
          <w:rFonts w:ascii="Cambria" w:hAnsi="Cambria"/>
          <w:i/>
          <w:iCs/>
        </w:rPr>
        <w:t>faire Verteilung von Nutzen und Lasten</w:t>
      </w:r>
      <w:r w:rsidR="00F17FD9">
        <w:rPr>
          <w:rFonts w:ascii="Cambria" w:hAnsi="Cambria"/>
        </w:rPr>
        <w:t xml:space="preserve"> im Gesundheitswesen verstanden werden, beispielsweise die einkommensabhängige Finanzierung des öffentlichen Gesundheitssystems. </w:t>
      </w:r>
      <w:r w:rsidR="00BC60F2">
        <w:rPr>
          <w:rFonts w:ascii="Cambria" w:hAnsi="Cambria"/>
        </w:rPr>
        <w:t xml:space="preserve">Eine konkretere, aber rein </w:t>
      </w:r>
      <w:r w:rsidR="00BC60F2" w:rsidRPr="00BC60F2">
        <w:rPr>
          <w:rFonts w:ascii="Cambria" w:hAnsi="Cambria"/>
          <w:i/>
          <w:iCs/>
        </w:rPr>
        <w:t>formale</w:t>
      </w:r>
      <w:r w:rsidR="00BC60F2">
        <w:rPr>
          <w:rFonts w:ascii="Cambria" w:hAnsi="Cambria"/>
        </w:rPr>
        <w:t xml:space="preserve"> Bestimmung von Gerechtigkeit</w:t>
      </w:r>
      <w:r w:rsidR="00F17FD9">
        <w:rPr>
          <w:rFonts w:ascii="Cambria" w:hAnsi="Cambria"/>
        </w:rPr>
        <w:t xml:space="preserve"> fordert</w:t>
      </w:r>
      <w:r>
        <w:rPr>
          <w:rFonts w:ascii="Cambria" w:hAnsi="Cambria"/>
        </w:rPr>
        <w:t xml:space="preserve"> </w:t>
      </w:r>
      <w:r w:rsidR="00F17FD9">
        <w:rPr>
          <w:rFonts w:ascii="Cambria" w:hAnsi="Cambria"/>
        </w:rPr>
        <w:t>die Orientierung am</w:t>
      </w:r>
      <w:r>
        <w:rPr>
          <w:rFonts w:ascii="Cambria" w:hAnsi="Cambria"/>
        </w:rPr>
        <w:t xml:space="preserve"> </w:t>
      </w:r>
      <w:r w:rsidRPr="00BC60F2">
        <w:rPr>
          <w:rFonts w:ascii="Cambria" w:hAnsi="Cambria"/>
          <w:i/>
          <w:iCs/>
        </w:rPr>
        <w:t>Gleichheitsprinzip</w:t>
      </w:r>
      <w:r>
        <w:rPr>
          <w:rFonts w:ascii="Cambria" w:hAnsi="Cambria"/>
        </w:rPr>
        <w:t xml:space="preserve">, etwa beim Anspruch auf gleichen Zugang zu medizinischen Leistungen. </w:t>
      </w:r>
      <w:r w:rsidR="00FB38A1">
        <w:rPr>
          <w:rFonts w:ascii="Cambria" w:hAnsi="Cambria"/>
          <w:i/>
          <w:iCs/>
        </w:rPr>
        <w:t>M</w:t>
      </w:r>
      <w:r w:rsidR="00F17FD9" w:rsidRPr="00BC60F2">
        <w:rPr>
          <w:rFonts w:ascii="Cambria" w:hAnsi="Cambria"/>
          <w:i/>
          <w:iCs/>
        </w:rPr>
        <w:t>oralisch bedeutsame</w:t>
      </w:r>
      <w:r w:rsidRPr="00BC60F2">
        <w:rPr>
          <w:rFonts w:ascii="Cambria" w:hAnsi="Cambria"/>
          <w:i/>
          <w:iCs/>
        </w:rPr>
        <w:t xml:space="preserve"> Gründe</w:t>
      </w:r>
      <w:r>
        <w:rPr>
          <w:rFonts w:ascii="Cambria" w:hAnsi="Cambria"/>
        </w:rPr>
        <w:t xml:space="preserve"> </w:t>
      </w:r>
      <w:r w:rsidR="00FB38A1">
        <w:rPr>
          <w:rFonts w:ascii="Cambria" w:hAnsi="Cambria"/>
        </w:rPr>
        <w:t xml:space="preserve">können </w:t>
      </w:r>
      <w:r>
        <w:rPr>
          <w:rFonts w:ascii="Cambria" w:hAnsi="Cambria"/>
        </w:rPr>
        <w:t xml:space="preserve">eine </w:t>
      </w:r>
      <w:r w:rsidRPr="00BC60F2">
        <w:rPr>
          <w:rFonts w:ascii="Cambria" w:hAnsi="Cambria"/>
          <w:i/>
          <w:iCs/>
        </w:rPr>
        <w:t>Ungleichbehandlung</w:t>
      </w:r>
      <w:r>
        <w:rPr>
          <w:rFonts w:ascii="Cambria" w:hAnsi="Cambria"/>
        </w:rPr>
        <w:t xml:space="preserve"> der Fälle fordern, zum Beispiel bei der Verteilung von Spenderorganen in der Transplantationsmedizin</w:t>
      </w:r>
      <w:r w:rsidR="00EA0E1A">
        <w:rPr>
          <w:rFonts w:ascii="Cambria" w:hAnsi="Cambria"/>
        </w:rPr>
        <w:t xml:space="preserve">. </w:t>
      </w:r>
      <w:r w:rsidR="00BC60F2">
        <w:rPr>
          <w:rFonts w:ascii="Cambria" w:hAnsi="Cambria"/>
        </w:rPr>
        <w:t>Ob Gründe moralisch relevant sind, kann</w:t>
      </w:r>
      <w:r w:rsidR="00576929">
        <w:rPr>
          <w:rFonts w:ascii="Cambria" w:hAnsi="Cambria"/>
        </w:rPr>
        <w:t xml:space="preserve"> </w:t>
      </w:r>
      <w:r w:rsidR="00FB38A1">
        <w:rPr>
          <w:rFonts w:ascii="Cambria" w:hAnsi="Cambria"/>
        </w:rPr>
        <w:t xml:space="preserve">nur </w:t>
      </w:r>
      <w:r w:rsidR="00BC60F2">
        <w:rPr>
          <w:rFonts w:ascii="Cambria" w:hAnsi="Cambria"/>
        </w:rPr>
        <w:t xml:space="preserve">durch </w:t>
      </w:r>
      <w:r w:rsidR="00FB38A1">
        <w:rPr>
          <w:rFonts w:ascii="Cambria" w:hAnsi="Cambria"/>
        </w:rPr>
        <w:t xml:space="preserve">eine </w:t>
      </w:r>
      <w:r w:rsidR="00BC60F2">
        <w:rPr>
          <w:rFonts w:ascii="Cambria" w:hAnsi="Cambria"/>
          <w:i/>
          <w:iCs/>
        </w:rPr>
        <w:t xml:space="preserve">materiale Bestimmung </w:t>
      </w:r>
      <w:r w:rsidR="00BC60F2">
        <w:rPr>
          <w:rFonts w:ascii="Cambria" w:hAnsi="Cambria"/>
        </w:rPr>
        <w:t xml:space="preserve">von Gerechtigkeit festgestellt werden. </w:t>
      </w:r>
      <w:r w:rsidR="00576929">
        <w:rPr>
          <w:rFonts w:ascii="Cambria" w:hAnsi="Cambria"/>
        </w:rPr>
        <w:t>Besonders wichtig</w:t>
      </w:r>
      <w:r w:rsidR="00BC60F2">
        <w:rPr>
          <w:rFonts w:ascii="Cambria" w:hAnsi="Cambria"/>
        </w:rPr>
        <w:t xml:space="preserve"> ist hier das </w:t>
      </w:r>
      <w:r w:rsidR="00BC60F2">
        <w:rPr>
          <w:rFonts w:ascii="Cambria" w:hAnsi="Cambria"/>
          <w:i/>
          <w:iCs/>
        </w:rPr>
        <w:t>Bedürfnisprinzip</w:t>
      </w:r>
      <w:r w:rsidR="00BC60F2">
        <w:rPr>
          <w:rFonts w:ascii="Cambria" w:hAnsi="Cambria"/>
        </w:rPr>
        <w:t xml:space="preserve">: </w:t>
      </w:r>
      <w:r w:rsidR="00FB38A1">
        <w:rPr>
          <w:rFonts w:ascii="Cambria" w:hAnsi="Cambria"/>
        </w:rPr>
        <w:t>Gerechtigkeit bedeutet dann</w:t>
      </w:r>
      <w:r w:rsidR="00BC60F2">
        <w:rPr>
          <w:rFonts w:ascii="Cambria" w:hAnsi="Cambria"/>
        </w:rPr>
        <w:t xml:space="preserve">, </w:t>
      </w:r>
      <w:r w:rsidR="00576929">
        <w:rPr>
          <w:rFonts w:ascii="Cambria" w:hAnsi="Cambria"/>
        </w:rPr>
        <w:t>diejenige medizinische Maßnahme zu ergreifen, welche</w:t>
      </w:r>
      <w:r w:rsidR="00BC60F2">
        <w:rPr>
          <w:rFonts w:ascii="Cambria" w:hAnsi="Cambria"/>
        </w:rPr>
        <w:t xml:space="preserve"> d</w:t>
      </w:r>
      <w:r w:rsidR="00576929">
        <w:rPr>
          <w:rFonts w:ascii="Cambria" w:hAnsi="Cambria"/>
        </w:rPr>
        <w:t>ie</w:t>
      </w:r>
      <w:r w:rsidR="00BC60F2">
        <w:rPr>
          <w:rFonts w:ascii="Cambria" w:hAnsi="Cambria"/>
        </w:rPr>
        <w:t xml:space="preserve"> fundamentalen, existentiellen, notwendigen Bedürfnisse eines Patienten </w:t>
      </w:r>
      <w:r w:rsidR="00576929">
        <w:rPr>
          <w:rFonts w:ascii="Cambria" w:hAnsi="Cambria"/>
        </w:rPr>
        <w:t>erfüllt</w:t>
      </w:r>
      <w:r w:rsidR="00BC60F2">
        <w:rPr>
          <w:rFonts w:ascii="Cambria" w:hAnsi="Cambria"/>
        </w:rPr>
        <w:t xml:space="preserve">. Würden diese Bedürfnisse nicht </w:t>
      </w:r>
      <w:r w:rsidR="00576929">
        <w:rPr>
          <w:rFonts w:ascii="Cambria" w:hAnsi="Cambria"/>
        </w:rPr>
        <w:t>befriedigt</w:t>
      </w:r>
      <w:r w:rsidR="00BC60F2">
        <w:rPr>
          <w:rFonts w:ascii="Cambria" w:hAnsi="Cambria"/>
        </w:rPr>
        <w:t>, hätte dies notwen</w:t>
      </w:r>
      <w:r w:rsidR="007E184F">
        <w:rPr>
          <w:rFonts w:ascii="Cambria" w:hAnsi="Cambria"/>
        </w:rPr>
        <w:t xml:space="preserve">dig </w:t>
      </w:r>
      <w:r w:rsidR="00BC60F2">
        <w:rPr>
          <w:rFonts w:ascii="Cambria" w:hAnsi="Cambria"/>
        </w:rPr>
        <w:t xml:space="preserve">erheblichen Schaden </w:t>
      </w:r>
      <w:r w:rsidR="00FB38A1">
        <w:rPr>
          <w:rFonts w:ascii="Cambria" w:hAnsi="Cambria"/>
        </w:rPr>
        <w:t xml:space="preserve">für den Patienten </w:t>
      </w:r>
      <w:r w:rsidR="00BC60F2">
        <w:rPr>
          <w:rFonts w:ascii="Cambria" w:hAnsi="Cambria"/>
        </w:rPr>
        <w:t xml:space="preserve">zur Folge. </w:t>
      </w:r>
    </w:p>
    <w:sectPr w:rsidR="003E3691" w:rsidRPr="00306FA7" w:rsidSect="00F25F2B">
      <w:pgSz w:w="11900" w:h="16840"/>
      <w:pgMar w:top="567" w:right="851" w:bottom="567" w:left="85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1843" w:rsidRDefault="00C61843" w:rsidP="001345AB">
      <w:r>
        <w:separator/>
      </w:r>
    </w:p>
  </w:endnote>
  <w:endnote w:type="continuationSeparator" w:id="0">
    <w:p w:rsidR="00C61843" w:rsidRDefault="00C61843" w:rsidP="0013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1843" w:rsidRDefault="00C61843" w:rsidP="001345AB">
      <w:r>
        <w:separator/>
      </w:r>
    </w:p>
  </w:footnote>
  <w:footnote w:type="continuationSeparator" w:id="0">
    <w:p w:rsidR="00C61843" w:rsidRDefault="00C61843" w:rsidP="001345AB">
      <w:r>
        <w:continuationSeparator/>
      </w:r>
    </w:p>
  </w:footnote>
  <w:footnote w:id="1">
    <w:p w:rsidR="001345AB" w:rsidRPr="004D4F5A" w:rsidRDefault="001345AB">
      <w:pPr>
        <w:pStyle w:val="Funotentext"/>
        <w:rPr>
          <w:rFonts w:ascii="Cambria" w:hAnsi="Cambria"/>
          <w:lang w:val="en-US"/>
        </w:rPr>
      </w:pPr>
      <w:r w:rsidRPr="004D4F5A">
        <w:rPr>
          <w:rStyle w:val="Funotenzeichen"/>
          <w:rFonts w:ascii="Cambria" w:hAnsi="Cambria"/>
        </w:rPr>
        <w:footnoteRef/>
      </w:r>
      <w:r w:rsidRPr="004D4F5A">
        <w:rPr>
          <w:rFonts w:ascii="Cambria" w:hAnsi="Cambria"/>
          <w:lang w:val="en-US"/>
        </w:rPr>
        <w:t xml:space="preserve"> Bea</w:t>
      </w:r>
      <w:r w:rsidR="00FB38A1" w:rsidRPr="004D4F5A">
        <w:rPr>
          <w:rFonts w:ascii="Cambria" w:hAnsi="Cambria"/>
          <w:lang w:val="en-US"/>
        </w:rPr>
        <w:t>u</w:t>
      </w:r>
      <w:r w:rsidRPr="004D4F5A">
        <w:rPr>
          <w:rFonts w:ascii="Cambria" w:hAnsi="Cambria"/>
          <w:lang w:val="en-US"/>
        </w:rPr>
        <w:t xml:space="preserve">champ, Tom L; </w:t>
      </w:r>
      <w:r w:rsidR="00FB38A1" w:rsidRPr="004D4F5A">
        <w:rPr>
          <w:rFonts w:ascii="Cambria" w:hAnsi="Cambria"/>
          <w:lang w:val="en-US"/>
        </w:rPr>
        <w:t>James F. Childress (2013): Principles of Biomedical Ethics. [1977] Seventh Edition. Oxford University Press. New York/London.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109A"/>
    <w:multiLevelType w:val="multilevel"/>
    <w:tmpl w:val="2676EF3A"/>
    <w:lvl w:ilvl="0">
      <w:start w:val="1"/>
      <w:numFmt w:val="bullet"/>
      <w:lvlText w:val="Ø"/>
      <w:lvlJc w:val="left"/>
      <w:pPr>
        <w:ind w:left="360" w:hanging="360"/>
      </w:pPr>
      <w:rPr>
        <w:rFonts w:ascii="Wingdings" w:hAnsi="Wingdings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C21E4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912FE"/>
    <w:multiLevelType w:val="multilevel"/>
    <w:tmpl w:val="AB1AA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04962"/>
    <w:multiLevelType w:val="multilevel"/>
    <w:tmpl w:val="11C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4321C"/>
    <w:multiLevelType w:val="multilevel"/>
    <w:tmpl w:val="2676EF3A"/>
    <w:lvl w:ilvl="0">
      <w:start w:val="1"/>
      <w:numFmt w:val="bullet"/>
      <w:lvlText w:val="Ø"/>
      <w:lvlJc w:val="left"/>
      <w:pPr>
        <w:ind w:left="360" w:hanging="360"/>
      </w:pPr>
      <w:rPr>
        <w:rFonts w:ascii="Wingdings" w:hAnsi="Wingdings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711EE"/>
    <w:multiLevelType w:val="multilevel"/>
    <w:tmpl w:val="3A06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53F14"/>
    <w:multiLevelType w:val="hybridMultilevel"/>
    <w:tmpl w:val="F10283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443471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834A53"/>
    <w:multiLevelType w:val="multilevel"/>
    <w:tmpl w:val="4A16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6"/>
    <w:rsid w:val="000134BE"/>
    <w:rsid w:val="0005461D"/>
    <w:rsid w:val="0007146F"/>
    <w:rsid w:val="000A086B"/>
    <w:rsid w:val="001345AB"/>
    <w:rsid w:val="00163027"/>
    <w:rsid w:val="001F7C44"/>
    <w:rsid w:val="002201EA"/>
    <w:rsid w:val="002A41B5"/>
    <w:rsid w:val="00306FA7"/>
    <w:rsid w:val="003A5FB6"/>
    <w:rsid w:val="003E3691"/>
    <w:rsid w:val="003E4FD8"/>
    <w:rsid w:val="004D4F5A"/>
    <w:rsid w:val="00576929"/>
    <w:rsid w:val="005E4796"/>
    <w:rsid w:val="005E48A8"/>
    <w:rsid w:val="006A4AE3"/>
    <w:rsid w:val="006F4E48"/>
    <w:rsid w:val="00776656"/>
    <w:rsid w:val="00794735"/>
    <w:rsid w:val="007E184F"/>
    <w:rsid w:val="00805AEB"/>
    <w:rsid w:val="00884DDD"/>
    <w:rsid w:val="008C0795"/>
    <w:rsid w:val="009406FD"/>
    <w:rsid w:val="009501E9"/>
    <w:rsid w:val="009518AD"/>
    <w:rsid w:val="009C5789"/>
    <w:rsid w:val="009C5839"/>
    <w:rsid w:val="009E3463"/>
    <w:rsid w:val="00A769A3"/>
    <w:rsid w:val="00A83E46"/>
    <w:rsid w:val="00AA6F94"/>
    <w:rsid w:val="00B32DA9"/>
    <w:rsid w:val="00B45957"/>
    <w:rsid w:val="00BA46FA"/>
    <w:rsid w:val="00BB65AD"/>
    <w:rsid w:val="00BC60F2"/>
    <w:rsid w:val="00C61843"/>
    <w:rsid w:val="00CE6D95"/>
    <w:rsid w:val="00D00CBB"/>
    <w:rsid w:val="00D30309"/>
    <w:rsid w:val="00D45D78"/>
    <w:rsid w:val="00D46034"/>
    <w:rsid w:val="00D54CDC"/>
    <w:rsid w:val="00DC4709"/>
    <w:rsid w:val="00DD40EE"/>
    <w:rsid w:val="00DD6C0B"/>
    <w:rsid w:val="00DF5AAA"/>
    <w:rsid w:val="00E21F75"/>
    <w:rsid w:val="00E6506B"/>
    <w:rsid w:val="00E9184E"/>
    <w:rsid w:val="00EA0E1A"/>
    <w:rsid w:val="00F17FD9"/>
    <w:rsid w:val="00F25F2B"/>
    <w:rsid w:val="00F26419"/>
    <w:rsid w:val="00F53114"/>
    <w:rsid w:val="00FB38A1"/>
    <w:rsid w:val="00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0108A"/>
  <w15:docId w15:val="{346F261B-C273-7F42-BB7D-3F69D3F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14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14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14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4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46F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345A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45A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4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2785</Characters>
  <Application>Microsoft Office Word</Application>
  <DocSecurity>0</DocSecurity>
  <Lines>92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11</cp:revision>
  <cp:lastPrinted>2019-11-01T13:29:00Z</cp:lastPrinted>
  <dcterms:created xsi:type="dcterms:W3CDTF">2020-06-10T16:25:00Z</dcterms:created>
  <dcterms:modified xsi:type="dcterms:W3CDTF">2020-06-23T10:00:00Z</dcterms:modified>
  <dc:language>de-DE</dc:language>
</cp:coreProperties>
</file>