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B6" w:rsidRPr="006D05B6" w:rsidRDefault="006D05B6" w:rsidP="006D05B6">
      <w:pPr>
        <w:tabs>
          <w:tab w:val="left" w:pos="709"/>
          <w:tab w:val="left" w:pos="2835"/>
        </w:tabs>
        <w:rPr>
          <w:rFonts w:asciiTheme="minorHAnsi" w:hAnsiTheme="minorHAnsi" w:cstheme="minorHAnsi"/>
          <w:sz w:val="28"/>
          <w:szCs w:val="28"/>
        </w:rPr>
      </w:pPr>
      <w:bookmarkStart w:id="0" w:name="_Toc156656450"/>
      <w:r w:rsidRPr="006D05B6">
        <w:rPr>
          <w:rFonts w:asciiTheme="minorHAnsi" w:hAnsiTheme="minorHAnsi" w:cstheme="minorHAnsi"/>
          <w:sz w:val="28"/>
          <w:szCs w:val="28"/>
        </w:rPr>
        <w:t>Der Additionssatz</w:t>
      </w:r>
    </w:p>
    <w:p w:rsidR="006D05B6" w:rsidRPr="006D05B6" w:rsidRDefault="006D05B6" w:rsidP="006D05B6">
      <w:pPr>
        <w:pStyle w:val="berschrift1"/>
        <w:tabs>
          <w:tab w:val="num" w:pos="360"/>
        </w:tabs>
        <w:spacing w:before="120"/>
        <w:ind w:left="357" w:hanging="357"/>
        <w:rPr>
          <w:rFonts w:cstheme="minorHAnsi"/>
        </w:rPr>
      </w:pPr>
      <w:r w:rsidRPr="006D05B6">
        <w:rPr>
          <w:rFonts w:cstheme="minorHAnsi"/>
        </w:rPr>
        <w:t>Methodisch-didaktische Verlaufsplanung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0"/>
        <w:gridCol w:w="2367"/>
        <w:gridCol w:w="18"/>
        <w:gridCol w:w="2604"/>
        <w:gridCol w:w="1055"/>
      </w:tblGrid>
      <w:tr w:rsidR="006D05B6" w:rsidRPr="006D05B6" w:rsidTr="006D05B6">
        <w:tc>
          <w:tcPr>
            <w:tcW w:w="3811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  <w:b/>
                <w:bCs/>
              </w:rPr>
            </w:pPr>
            <w:r w:rsidRPr="006D05B6">
              <w:rPr>
                <w:rFonts w:asciiTheme="minorHAnsi" w:hAnsiTheme="minorHAnsi" w:cstheme="minorHAnsi"/>
                <w:b/>
                <w:bCs/>
              </w:rPr>
              <w:t>Geplantes Lehrerverhalten</w:t>
            </w:r>
          </w:p>
        </w:tc>
        <w:tc>
          <w:tcPr>
            <w:tcW w:w="2385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  <w:b/>
                <w:bCs/>
              </w:rPr>
            </w:pPr>
            <w:r w:rsidRPr="006D05B6">
              <w:rPr>
                <w:rFonts w:asciiTheme="minorHAnsi" w:hAnsiTheme="minorHAnsi" w:cstheme="minorHAnsi"/>
                <w:b/>
                <w:bCs/>
              </w:rPr>
              <w:t>Erwartetes Schülerverhalten</w:t>
            </w:r>
          </w:p>
        </w:tc>
        <w:tc>
          <w:tcPr>
            <w:tcW w:w="2603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  <w:b/>
                <w:bCs/>
              </w:rPr>
            </w:pPr>
            <w:r w:rsidRPr="006D05B6">
              <w:rPr>
                <w:rFonts w:asciiTheme="minorHAnsi" w:hAnsiTheme="minorHAnsi" w:cstheme="minorHAnsi"/>
                <w:b/>
                <w:bCs/>
              </w:rPr>
              <w:t>Methodisch-didaktische Hinweise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  <w:b/>
                <w:bCs/>
              </w:rPr>
            </w:pPr>
            <w:r w:rsidRPr="006D05B6">
              <w:rPr>
                <w:rFonts w:asciiTheme="minorHAnsi" w:hAnsiTheme="minorHAnsi" w:cstheme="minorHAnsi"/>
                <w:b/>
                <w:bCs/>
              </w:rPr>
              <w:t>Zeit</w:t>
            </w:r>
          </w:p>
        </w:tc>
      </w:tr>
      <w:tr w:rsidR="006D05B6" w:rsidRPr="006D05B6" w:rsidTr="006D05B6">
        <w:tc>
          <w:tcPr>
            <w:tcW w:w="3811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Zu Beginn der Unterrichtsstunde erhalten 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einen Kartensatz und eine Spielanleitung für ein Kartenspiel.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erste Aufgabe ist zunächst, dass 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gemäß der Beschreibung in der Spielanleitung die leeren Spielkarten beschriften.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tabs>
                <w:tab w:val="left" w:pos="567"/>
              </w:tabs>
              <w:rPr>
                <w:rFonts w:asciiTheme="minorHAnsi" w:hAnsiTheme="minorHAnsi" w:cstheme="minorHAnsi"/>
                <w:i/>
                <w:iCs/>
              </w:rPr>
            </w:pPr>
          </w:p>
          <w:p w:rsidR="006D05B6" w:rsidRPr="006D05B6" w:rsidRDefault="006D05B6" w:rsidP="00DE2228">
            <w:pPr>
              <w:tabs>
                <w:tab w:val="left" w:pos="567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385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überlegen zunächst jeder für sich, wie sie die Spielkarten beschriften würden.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Anschließend tauschen sich 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in Gruppen über ihre Ideen aus.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Eine Gruppe überträgt ihre Lösung auf größere Spielkarten und präsentiert der Klasse ihre Lösung.</w:t>
            </w:r>
          </w:p>
        </w:tc>
        <w:tc>
          <w:tcPr>
            <w:tcW w:w="2603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Sozialform:</w:t>
            </w:r>
            <w:r>
              <w:rPr>
                <w:rFonts w:asciiTheme="minorHAnsi" w:hAnsiTheme="minorHAnsi" w:cstheme="minorHAnsi"/>
              </w:rPr>
              <w:br/>
            </w:r>
            <w:r w:rsidRPr="006D05B6">
              <w:rPr>
                <w:rFonts w:asciiTheme="minorHAnsi" w:hAnsiTheme="minorHAnsi" w:cstheme="minorHAnsi"/>
              </w:rPr>
              <w:t>Ich-Du-Wir-Prinzip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 entdecken-lassend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Medien:</w:t>
            </w:r>
            <w:r>
              <w:rPr>
                <w:rFonts w:asciiTheme="minorHAnsi" w:hAnsiTheme="minorHAnsi" w:cstheme="minorHAnsi"/>
              </w:rPr>
              <w:br/>
            </w:r>
            <w:r w:rsidRPr="006D05B6">
              <w:rPr>
                <w:rFonts w:asciiTheme="minorHAnsi" w:hAnsiTheme="minorHAnsi" w:cstheme="minorHAnsi"/>
              </w:rPr>
              <w:t xml:space="preserve">Spielanleitung, Kartensatz 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15 Minuten</w:t>
            </w:r>
          </w:p>
        </w:tc>
      </w:tr>
      <w:tr w:rsidR="006D05B6" w:rsidRPr="006D05B6" w:rsidTr="006D05B6">
        <w:tc>
          <w:tcPr>
            <w:tcW w:w="3811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Anhand der Spielkarten werden die Wahrscheinlichkeiten für folgende Ereignisse berechnet: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A: Auf der Spielkarte steht ein Buchstabe.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B: Auf der Spielkarte steht eine Zahl.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C: Auf der Spielkarte steht weder eine Zahl noch ein Buchstabe.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Bezogen auf das Kartenspiel werden folgende Wahrscheinlichkeiten berechnet: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D: Der Spieler gewinnt nichts.</w:t>
            </w:r>
          </w:p>
          <w:p w:rsidR="006D05B6" w:rsidRPr="006D05B6" w:rsidRDefault="00A611A0" w:rsidP="00DE2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E: Der Spieler gewinnt 1 </w:t>
            </w:r>
            <w:r w:rsidR="006D05B6" w:rsidRPr="006D05B6">
              <w:rPr>
                <w:rFonts w:asciiTheme="minorHAnsi" w:hAnsiTheme="minorHAnsi" w:cstheme="minorHAnsi"/>
              </w:rPr>
              <w:t>€.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F: Der Spieler gewinnt 2 €.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 xml:space="preserve">G: Der Spieler gewinnt 3 €. </w:t>
            </w:r>
          </w:p>
          <w:p w:rsidR="006D05B6" w:rsidRPr="006D05B6" w:rsidRDefault="006D05B6" w:rsidP="006D05B6">
            <w:pPr>
              <w:tabs>
                <w:tab w:val="left" w:pos="567"/>
              </w:tabs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385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berechnen die Wahrscheinlichkeiten.</w:t>
            </w:r>
          </w:p>
        </w:tc>
        <w:tc>
          <w:tcPr>
            <w:tcW w:w="2603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Sozialform: Frontalunterricht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 fragend-entwickelnd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 Tafel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15 Minuten</w:t>
            </w:r>
          </w:p>
        </w:tc>
      </w:tr>
      <w:tr w:rsidR="006D05B6" w:rsidRPr="006D05B6" w:rsidTr="006D05B6">
        <w:tc>
          <w:tcPr>
            <w:tcW w:w="3810" w:type="dxa"/>
            <w:shd w:val="clear" w:color="auto" w:fill="auto"/>
          </w:tcPr>
          <w:p w:rsidR="006D05B6" w:rsidRPr="006D05B6" w:rsidRDefault="006D05B6" w:rsidP="00DE2228">
            <w:pPr>
              <w:tabs>
                <w:tab w:val="left" w:pos="567"/>
              </w:tabs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erhalten die Aufgabe, die Wahrscheinlichkeit des Ereignisses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„H: Der Spieler gewinnt“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 xml:space="preserve">zu berechnen.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6D05B6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lastRenderedPageBreak/>
              <w:t>Der allgemeine Additionssatz wird an der Tafel festgehalten.</w:t>
            </w:r>
          </w:p>
        </w:tc>
        <w:tc>
          <w:tcPr>
            <w:tcW w:w="2367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lastRenderedPageBreak/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erkennen den Zusammenhang der Ereignisse P(A), P(B) und P(A</w:t>
            </w:r>
            <w:r w:rsidRPr="006D05B6">
              <w:rPr>
                <w:rFonts w:asciiTheme="minorHAnsi" w:hAnsiTheme="minorHAnsi" w:cstheme="minorHAnsi"/>
              </w:rPr>
              <w:sym w:font="Symbol" w:char="F0C7"/>
            </w:r>
            <w:r w:rsidRPr="006D05B6">
              <w:rPr>
                <w:rFonts w:asciiTheme="minorHAnsi" w:hAnsiTheme="minorHAnsi" w:cstheme="minorHAnsi"/>
              </w:rPr>
              <w:t xml:space="preserve">B). Sie formulieren den </w:t>
            </w:r>
            <w:r w:rsidRPr="006D05B6">
              <w:rPr>
                <w:rFonts w:asciiTheme="minorHAnsi" w:hAnsiTheme="minorHAnsi" w:cstheme="minorHAnsi"/>
              </w:rPr>
              <w:lastRenderedPageBreak/>
              <w:t>allgemeinen Additionssatz.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22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lastRenderedPageBreak/>
              <w:t>Sozialform: Frontalunterricht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 fragend-entwickelnd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 Tafel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10 Minuten</w:t>
            </w:r>
          </w:p>
        </w:tc>
      </w:tr>
      <w:tr w:rsidR="006D05B6" w:rsidRPr="006D05B6" w:rsidTr="006D05B6">
        <w:tc>
          <w:tcPr>
            <w:tcW w:w="3810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lastRenderedPageBreak/>
              <w:t>Die Lehrperson stellt den speziellen  Additionssatz vor und bittet 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das Kartenspiel so abzuändern, dass der spezielle Additionssatz gilt. </w:t>
            </w:r>
          </w:p>
          <w:p w:rsidR="006D05B6" w:rsidRPr="006D05B6" w:rsidRDefault="006D05B6" w:rsidP="00DE2228">
            <w:pPr>
              <w:tabs>
                <w:tab w:val="left" w:pos="567"/>
              </w:tabs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367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erklären den Unterschied zwischen dem allgemeinen und dem speziellen Additionssatz.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22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Sozialform: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Frontalunterricht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Fragend-entwickelnd, entdecken-lassend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Tafel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5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Minuten</w:t>
            </w:r>
          </w:p>
        </w:tc>
      </w:tr>
      <w:tr w:rsidR="006D05B6" w:rsidRPr="006D05B6" w:rsidTr="006D05B6">
        <w:tc>
          <w:tcPr>
            <w:tcW w:w="3810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Lehrperson bittet 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im Buch (Merkur) auf Seite 213 die Aufgaben Nr.</w:t>
            </w:r>
            <w:r w:rsidR="000448B2">
              <w:rPr>
                <w:rFonts w:asciiTheme="minorHAnsi" w:hAnsiTheme="minorHAnsi" w:cstheme="minorHAnsi"/>
              </w:rPr>
              <w:t xml:space="preserve"> </w:t>
            </w:r>
            <w:r w:rsidRPr="006D05B6">
              <w:rPr>
                <w:rFonts w:asciiTheme="minorHAnsi" w:hAnsiTheme="minorHAnsi" w:cstheme="minorHAnsi"/>
              </w:rPr>
              <w:t xml:space="preserve">5 und Nr. 8 zu lösen. </w:t>
            </w:r>
          </w:p>
        </w:tc>
        <w:tc>
          <w:tcPr>
            <w:tcW w:w="2367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bearbeiten die Aufgaben und stellen ihre Lösungen vor.</w:t>
            </w:r>
          </w:p>
        </w:tc>
        <w:tc>
          <w:tcPr>
            <w:tcW w:w="2622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Sozialform: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Einzel- und Partnerarbeit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Fragend-entwickelnd, entdecken-lassend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Buch, Dokumentenkamera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15 Minuten</w:t>
            </w:r>
          </w:p>
        </w:tc>
      </w:tr>
      <w:tr w:rsidR="006D05B6" w:rsidRPr="006D05B6" w:rsidTr="006D05B6">
        <w:tc>
          <w:tcPr>
            <w:tcW w:w="3810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 xml:space="preserve">Die Lehrperson stellt die Vierfeldertafel anhand des Kartenspiels und allgemein vor. 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r w:rsidRPr="006D05B6">
              <w:rPr>
                <w:rFonts w:asciiTheme="minorHAnsi" w:hAnsiTheme="minorHAnsi" w:cstheme="minorHAnsi"/>
              </w:rPr>
              <w:t xml:space="preserve"> nennen die Wahrscheinlichkeiten für die Felder der Vierfeldertafel.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22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Sozialform: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Frontalunterricht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Fragend-entwickelnd, entdecken-lassend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Tafel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10 Minuten</w:t>
            </w:r>
          </w:p>
        </w:tc>
      </w:tr>
      <w:tr w:rsidR="006D05B6" w:rsidRPr="006D05B6" w:rsidTr="006D05B6">
        <w:tc>
          <w:tcPr>
            <w:tcW w:w="3810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Anhand eines Übungsblattes wird das Themengebiet „Verknüpfung von Ereignissen“ in Verbindung mit dem Additionssatz und der Vierfeldertafel vertieft.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Die Schüler</w:t>
            </w:r>
            <w:r w:rsidR="000448B2">
              <w:rPr>
                <w:rFonts w:asciiTheme="minorHAnsi" w:hAnsiTheme="minorHAnsi" w:cstheme="minorHAnsi"/>
              </w:rPr>
              <w:t>innen und Schüler</w:t>
            </w:r>
            <w:bookmarkStart w:id="1" w:name="_GoBack"/>
            <w:bookmarkEnd w:id="1"/>
            <w:r w:rsidRPr="006D05B6">
              <w:rPr>
                <w:rFonts w:asciiTheme="minorHAnsi" w:hAnsiTheme="minorHAnsi" w:cstheme="minorHAnsi"/>
              </w:rPr>
              <w:t xml:space="preserve"> bearbeiten das Übungsblatt.</w:t>
            </w:r>
          </w:p>
        </w:tc>
        <w:tc>
          <w:tcPr>
            <w:tcW w:w="2622" w:type="dxa"/>
            <w:gridSpan w:val="2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Sozialform: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Einzel- und Partnerarbeit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Aktionsform: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Fragend-entwickelnd, entdecken-lassend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Medien: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Arbeitsblatt</w:t>
            </w:r>
          </w:p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Dokumentenkamera</w:t>
            </w:r>
          </w:p>
        </w:tc>
        <w:tc>
          <w:tcPr>
            <w:tcW w:w="1055" w:type="dxa"/>
            <w:shd w:val="clear" w:color="auto" w:fill="auto"/>
          </w:tcPr>
          <w:p w:rsidR="006D05B6" w:rsidRPr="006D05B6" w:rsidRDefault="006D05B6" w:rsidP="00DE2228">
            <w:pPr>
              <w:rPr>
                <w:rFonts w:asciiTheme="minorHAnsi" w:hAnsiTheme="minorHAnsi" w:cstheme="minorHAnsi"/>
              </w:rPr>
            </w:pPr>
            <w:r w:rsidRPr="006D05B6">
              <w:rPr>
                <w:rFonts w:asciiTheme="minorHAnsi" w:hAnsiTheme="minorHAnsi" w:cstheme="minorHAnsi"/>
              </w:rPr>
              <w:t>20 Minuten</w:t>
            </w:r>
          </w:p>
        </w:tc>
      </w:tr>
    </w:tbl>
    <w:p w:rsidR="006D05B6" w:rsidRPr="006D05B6" w:rsidRDefault="006D05B6" w:rsidP="006D05B6">
      <w:pPr>
        <w:rPr>
          <w:rFonts w:asciiTheme="minorHAnsi" w:hAnsiTheme="minorHAnsi" w:cstheme="minorHAnsi"/>
          <w:b/>
          <w:bCs/>
        </w:rPr>
      </w:pPr>
    </w:p>
    <w:sectPr w:rsidR="006D05B6" w:rsidRPr="006D05B6" w:rsidSect="00F66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37" w:rsidRDefault="00752837" w:rsidP="001E03DE">
      <w:r>
        <w:separator/>
      </w:r>
    </w:p>
  </w:endnote>
  <w:endnote w:type="continuationSeparator" w:id="0">
    <w:p w:rsidR="00752837" w:rsidRDefault="0075283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3B" w:rsidRDefault="00EF49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EF493B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EF493B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448B2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37" w:rsidRDefault="00752837" w:rsidP="001E03DE">
      <w:r>
        <w:separator/>
      </w:r>
    </w:p>
  </w:footnote>
  <w:footnote w:type="continuationSeparator" w:id="0">
    <w:p w:rsidR="00752837" w:rsidRDefault="0075283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93B" w:rsidRDefault="00EF49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D97DFD9" wp14:editId="76738CA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E8CAFF" wp14:editId="02C086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448B2"/>
    <w:rsid w:val="001A2103"/>
    <w:rsid w:val="001E03DE"/>
    <w:rsid w:val="001E0F2D"/>
    <w:rsid w:val="002223B8"/>
    <w:rsid w:val="00296589"/>
    <w:rsid w:val="00445B6B"/>
    <w:rsid w:val="0044650F"/>
    <w:rsid w:val="006D05B6"/>
    <w:rsid w:val="00752837"/>
    <w:rsid w:val="008A6B36"/>
    <w:rsid w:val="008A7911"/>
    <w:rsid w:val="009533B3"/>
    <w:rsid w:val="009935DA"/>
    <w:rsid w:val="009C05F9"/>
    <w:rsid w:val="00A611A0"/>
    <w:rsid w:val="00B127D0"/>
    <w:rsid w:val="00C1176F"/>
    <w:rsid w:val="00C22DA6"/>
    <w:rsid w:val="00C302FA"/>
    <w:rsid w:val="00C329C9"/>
    <w:rsid w:val="00CA4381"/>
    <w:rsid w:val="00CD6932"/>
    <w:rsid w:val="00DA114A"/>
    <w:rsid w:val="00DC7E46"/>
    <w:rsid w:val="00E15C59"/>
    <w:rsid w:val="00E82045"/>
    <w:rsid w:val="00EF493B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05B6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noProof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noProof w:val="0"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noProof w:val="0"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noProof w:val="0"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noProof w:val="0"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suppressAutoHyphens w:val="0"/>
      <w:jc w:val="center"/>
    </w:pPr>
    <w:rPr>
      <w:rFonts w:eastAsiaTheme="minorHAnsi"/>
      <w:noProof w:val="0"/>
      <w:sz w:val="16"/>
      <w:szCs w:val="24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widowControl/>
      <w:suppressAutoHyphens w:val="0"/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noProof w:val="0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 w:val="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suppressAutoHyphens w:val="0"/>
      <w:spacing w:line="318" w:lineRule="exact"/>
      <w:jc w:val="both"/>
    </w:pPr>
    <w:rPr>
      <w:rFonts w:asciiTheme="minorHAnsi" w:hAnsiTheme="minorHAnsi"/>
      <w:noProof w:val="0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suppressAutoHyphens w:val="0"/>
      <w:spacing w:line="318" w:lineRule="exact"/>
      <w:ind w:firstLine="357"/>
      <w:jc w:val="both"/>
    </w:pPr>
    <w:rPr>
      <w:rFonts w:asciiTheme="minorHAnsi" w:hAnsiTheme="minorHAnsi"/>
      <w:noProof w:val="0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suppressAutoHyphens w:val="0"/>
      <w:spacing w:after="300"/>
      <w:contextualSpacing/>
    </w:pPr>
    <w:rPr>
      <w:rFonts w:asciiTheme="minorHAnsi" w:eastAsiaTheme="majorEastAsia" w:hAnsiTheme="minorHAnsi" w:cstheme="majorBidi"/>
      <w:b/>
      <w:noProof w:val="0"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suppressAutoHyphens w:val="0"/>
      <w:spacing w:before="160" w:after="160" w:line="360" w:lineRule="exact"/>
      <w:ind w:left="357" w:right="567" w:hanging="357"/>
    </w:pPr>
    <w:rPr>
      <w:rFonts w:asciiTheme="minorHAnsi" w:hAnsiTheme="minorHAnsi"/>
      <w:b/>
      <w:noProof w:val="0"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suppressAutoHyphens w:val="0"/>
      <w:spacing w:after="100" w:line="240" w:lineRule="exact"/>
      <w:ind w:left="828" w:right="567" w:hanging="471"/>
    </w:pPr>
    <w:rPr>
      <w:rFonts w:asciiTheme="minorHAnsi" w:hAnsiTheme="minorHAnsi"/>
      <w:noProof w:val="0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suppressAutoHyphens w:val="0"/>
      <w:spacing w:after="100" w:line="240" w:lineRule="exact"/>
      <w:ind w:left="1503" w:right="567" w:hanging="709"/>
      <w:contextualSpacing/>
    </w:pPr>
    <w:rPr>
      <w:rFonts w:asciiTheme="minorHAnsi" w:hAnsiTheme="minorHAnsi"/>
      <w:noProof w:val="0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suppressAutoHyphens w:val="0"/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noProof w:val="0"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suppressAutoHyphens w:val="0"/>
      <w:spacing w:before="120" w:line="220" w:lineRule="exact"/>
      <w:ind w:left="113" w:hanging="113"/>
    </w:pPr>
    <w:rPr>
      <w:rFonts w:asciiTheme="minorHAnsi" w:hAnsiTheme="minorHAnsi"/>
      <w:noProof w:val="0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suppressAutoHyphens w:val="0"/>
      <w:spacing w:before="318" w:after="91" w:line="295" w:lineRule="exact"/>
      <w:jc w:val="both"/>
    </w:pPr>
    <w:rPr>
      <w:rFonts w:asciiTheme="minorHAnsi" w:hAnsiTheme="minorHAnsi"/>
      <w:noProof w:val="0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suppressAutoHyphens w:val="0"/>
      <w:spacing w:after="200"/>
      <w:jc w:val="both"/>
    </w:pPr>
    <w:rPr>
      <w:rFonts w:asciiTheme="minorHAnsi" w:hAnsiTheme="minorHAnsi"/>
      <w:bCs/>
      <w:noProof w:val="0"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uppressAutoHyphens w:val="0"/>
      <w:spacing w:before="295" w:after="295" w:line="280" w:lineRule="exact"/>
      <w:ind w:left="113" w:right="113"/>
      <w:jc w:val="both"/>
    </w:pPr>
    <w:rPr>
      <w:rFonts w:asciiTheme="minorHAnsi" w:hAnsiTheme="minorHAnsi"/>
      <w:noProof w:val="0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11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11A0"/>
    <w:rPr>
      <w:rFonts w:ascii="Tahoma" w:eastAsia="Times New Roman" w:hAnsi="Tahoma" w:cs="Tahoma"/>
      <w:noProof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05B6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noProof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noProof w:val="0"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noProof w:val="0"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noProof w:val="0"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noProof w:val="0"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suppressAutoHyphens w:val="0"/>
      <w:jc w:val="center"/>
    </w:pPr>
    <w:rPr>
      <w:rFonts w:eastAsiaTheme="minorHAnsi"/>
      <w:noProof w:val="0"/>
      <w:sz w:val="16"/>
      <w:szCs w:val="24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widowControl/>
      <w:suppressAutoHyphens w:val="0"/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noProof w:val="0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 w:val="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suppressAutoHyphens w:val="0"/>
      <w:spacing w:line="318" w:lineRule="exact"/>
      <w:jc w:val="both"/>
    </w:pPr>
    <w:rPr>
      <w:rFonts w:asciiTheme="minorHAnsi" w:hAnsiTheme="minorHAnsi"/>
      <w:noProof w:val="0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suppressAutoHyphens w:val="0"/>
      <w:spacing w:line="318" w:lineRule="exact"/>
      <w:ind w:firstLine="357"/>
      <w:jc w:val="both"/>
    </w:pPr>
    <w:rPr>
      <w:rFonts w:asciiTheme="minorHAnsi" w:hAnsiTheme="minorHAnsi"/>
      <w:noProof w:val="0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suppressAutoHyphens w:val="0"/>
      <w:spacing w:after="300"/>
      <w:contextualSpacing/>
    </w:pPr>
    <w:rPr>
      <w:rFonts w:asciiTheme="minorHAnsi" w:eastAsiaTheme="majorEastAsia" w:hAnsiTheme="minorHAnsi" w:cstheme="majorBidi"/>
      <w:b/>
      <w:noProof w:val="0"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suppressAutoHyphens w:val="0"/>
      <w:spacing w:before="160" w:after="160" w:line="360" w:lineRule="exact"/>
      <w:ind w:left="357" w:right="567" w:hanging="357"/>
    </w:pPr>
    <w:rPr>
      <w:rFonts w:asciiTheme="minorHAnsi" w:hAnsiTheme="minorHAnsi"/>
      <w:b/>
      <w:noProof w:val="0"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suppressAutoHyphens w:val="0"/>
      <w:spacing w:after="100" w:line="240" w:lineRule="exact"/>
      <w:ind w:left="828" w:right="567" w:hanging="471"/>
    </w:pPr>
    <w:rPr>
      <w:rFonts w:asciiTheme="minorHAnsi" w:hAnsiTheme="minorHAnsi"/>
      <w:noProof w:val="0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suppressAutoHyphens w:val="0"/>
      <w:spacing w:after="100" w:line="240" w:lineRule="exact"/>
      <w:ind w:left="1503" w:right="567" w:hanging="709"/>
      <w:contextualSpacing/>
    </w:pPr>
    <w:rPr>
      <w:rFonts w:asciiTheme="minorHAnsi" w:hAnsiTheme="minorHAnsi"/>
      <w:noProof w:val="0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suppressAutoHyphens w:val="0"/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noProof w:val="0"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suppressAutoHyphens w:val="0"/>
      <w:spacing w:before="120" w:line="220" w:lineRule="exact"/>
      <w:ind w:left="113" w:hanging="113"/>
    </w:pPr>
    <w:rPr>
      <w:rFonts w:asciiTheme="minorHAnsi" w:hAnsiTheme="minorHAnsi"/>
      <w:noProof w:val="0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suppressAutoHyphens w:val="0"/>
      <w:spacing w:before="318" w:after="91" w:line="295" w:lineRule="exact"/>
      <w:jc w:val="both"/>
    </w:pPr>
    <w:rPr>
      <w:rFonts w:asciiTheme="minorHAnsi" w:hAnsiTheme="minorHAnsi"/>
      <w:noProof w:val="0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suppressAutoHyphens w:val="0"/>
      <w:spacing w:after="200"/>
      <w:jc w:val="both"/>
    </w:pPr>
    <w:rPr>
      <w:rFonts w:asciiTheme="minorHAnsi" w:hAnsiTheme="minorHAnsi"/>
      <w:bCs/>
      <w:noProof w:val="0"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uppressAutoHyphens w:val="0"/>
      <w:spacing w:before="295" w:after="295" w:line="280" w:lineRule="exact"/>
      <w:ind w:left="113" w:right="113"/>
      <w:jc w:val="both"/>
    </w:pPr>
    <w:rPr>
      <w:rFonts w:asciiTheme="minorHAnsi" w:hAnsiTheme="minorHAnsi"/>
      <w:noProof w:val="0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11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11A0"/>
    <w:rPr>
      <w:rFonts w:ascii="Tahoma" w:eastAsia="Times New Roman" w:hAnsi="Tahoma" w:cs="Tahoma"/>
      <w:noProof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7A407-FB35-499E-9E7E-3C579373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441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2017-10-30T12:33:00Z</cp:lastPrinted>
  <dcterms:created xsi:type="dcterms:W3CDTF">2017-10-15T10:54:00Z</dcterms:created>
  <dcterms:modified xsi:type="dcterms:W3CDTF">2018-01-15T15:41:00Z</dcterms:modified>
</cp:coreProperties>
</file>