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932"/>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024C47" w:rsidRDefault="00C1787D" w:rsidP="002C4593">
            <w:pPr>
              <w:pStyle w:val="tLernfeldKopf"/>
              <w:rPr>
                <w:rFonts w:asciiTheme="minorHAnsi" w:hAnsiTheme="minorHAnsi" w:cstheme="minorHAnsi"/>
              </w:rPr>
            </w:pPr>
            <w:r w:rsidRPr="00024C47">
              <w:rPr>
                <w:rFonts w:asciiTheme="minorHAnsi" w:hAnsiTheme="minorHAnsi" w:cstheme="minorHAnsi"/>
                <w:sz w:val="18"/>
              </w:rPr>
              <w:t>Lernsituation</w:t>
            </w:r>
          </w:p>
        </w:tc>
      </w:tr>
      <w:tr w:rsidR="00C1787D" w:rsidRPr="009129E1" w:rsidTr="003E008E">
        <w:trPr>
          <w:trHeight w:val="388"/>
        </w:trPr>
        <w:tc>
          <w:tcPr>
            <w:tcW w:w="1701" w:type="dxa"/>
            <w:tcBorders>
              <w:left w:val="single" w:sz="4" w:space="0" w:color="auto"/>
              <w:bottom w:val="single" w:sz="4" w:space="0" w:color="auto"/>
              <w:right w:val="single" w:sz="4" w:space="0" w:color="auto"/>
            </w:tcBorders>
            <w:vAlign w:val="center"/>
          </w:tcPr>
          <w:p w:rsidR="00C1787D" w:rsidRPr="003E008E" w:rsidRDefault="00C1787D" w:rsidP="003E008E">
            <w:pPr>
              <w:pStyle w:val="tLernfeldKopf-Titel"/>
              <w:rPr>
                <w:rFonts w:asciiTheme="minorHAnsi" w:hAnsiTheme="minorHAnsi" w:cstheme="minorHAnsi"/>
                <w:sz w:val="26"/>
                <w:szCs w:val="26"/>
              </w:rPr>
            </w:pPr>
            <w:r w:rsidRPr="003E008E">
              <w:rPr>
                <w:rFonts w:asciiTheme="minorHAnsi" w:hAnsiTheme="minorHAnsi" w:cstheme="minorHAnsi"/>
                <w:sz w:val="26"/>
                <w:szCs w:val="26"/>
              </w:rPr>
              <w:t>WBM-LF0</w:t>
            </w:r>
            <w:r w:rsidR="003E008E" w:rsidRPr="003E008E">
              <w:rPr>
                <w:rFonts w:asciiTheme="minorHAnsi" w:hAnsiTheme="minorHAnsi" w:cstheme="minorHAnsi"/>
                <w:sz w:val="26"/>
                <w:szCs w:val="26"/>
              </w:rPr>
              <w:t>6</w:t>
            </w:r>
          </w:p>
        </w:tc>
        <w:tc>
          <w:tcPr>
            <w:tcW w:w="7932" w:type="dxa"/>
            <w:tcBorders>
              <w:top w:val="single" w:sz="4" w:space="0" w:color="auto"/>
              <w:left w:val="single" w:sz="4" w:space="0" w:color="auto"/>
              <w:bottom w:val="single" w:sz="4" w:space="0" w:color="auto"/>
              <w:right w:val="single" w:sz="4" w:space="0" w:color="auto"/>
            </w:tcBorders>
            <w:vAlign w:val="center"/>
          </w:tcPr>
          <w:p w:rsidR="00C1787D" w:rsidRPr="003E008E" w:rsidRDefault="003E008E" w:rsidP="002C4593">
            <w:pPr>
              <w:pStyle w:val="tLernfeldKopf-Titel"/>
              <w:rPr>
                <w:rFonts w:asciiTheme="minorHAnsi" w:hAnsiTheme="minorHAnsi" w:cstheme="minorHAnsi"/>
                <w:sz w:val="26"/>
                <w:szCs w:val="26"/>
              </w:rPr>
            </w:pPr>
            <w:r w:rsidRPr="003E008E">
              <w:rPr>
                <w:rFonts w:asciiTheme="minorHAnsi" w:hAnsiTheme="minorHAnsi" w:cstheme="minorHAnsi"/>
                <w:sz w:val="26"/>
                <w:szCs w:val="26"/>
              </w:rPr>
              <w:t>Gesetzliche Aufbewahrungsfristen in der Buchführung berücksichtigen</w:t>
            </w:r>
          </w:p>
        </w:tc>
      </w:tr>
    </w:tbl>
    <w:p w:rsidR="00C1787D" w:rsidRPr="0033141D" w:rsidRDefault="00C1787D" w:rsidP="00C1787D">
      <w:pPr>
        <w:pStyle w:val="t0Unternehmensprofil"/>
        <w:rPr>
          <w:rFonts w:asciiTheme="minorHAnsi" w:hAnsiTheme="minorHAnsi" w:cstheme="minorHAnsi"/>
          <w:sz w:val="24"/>
        </w:rPr>
      </w:pPr>
      <w:r w:rsidRPr="0033141D">
        <w:rPr>
          <w:rFonts w:asciiTheme="minorHAnsi" w:hAnsiTheme="minorHAnsi" w:cstheme="minorHAnsi"/>
          <w:sz w:val="24"/>
        </w:rPr>
        <w:t>Situation</w:t>
      </w:r>
    </w:p>
    <w:p w:rsidR="00C1787D" w:rsidRDefault="00FC633F" w:rsidP="00B91660">
      <w:pPr>
        <w:rPr>
          <w:rFonts w:asciiTheme="minorHAnsi" w:hAnsiTheme="minorHAnsi"/>
          <w:sz w:val="14"/>
        </w:rPr>
      </w:pPr>
      <w:r>
        <w:rPr>
          <w:rFonts w:asciiTheme="minorHAnsi" w:hAnsiTheme="minorHAnsi"/>
          <w:noProof/>
          <w:sz w:val="14"/>
        </w:rPr>
        <mc:AlternateContent>
          <mc:Choice Requires="wpg">
            <w:drawing>
              <wp:anchor distT="0" distB="0" distL="114300" distR="114300" simplePos="0" relativeHeight="251663360" behindDoc="1" locked="0" layoutInCell="1" allowOverlap="1" wp14:anchorId="3B2D3163" wp14:editId="4FCC6CD8">
                <wp:simplePos x="0" y="0"/>
                <wp:positionH relativeFrom="column">
                  <wp:posOffset>4994910</wp:posOffset>
                </wp:positionH>
                <wp:positionV relativeFrom="paragraph">
                  <wp:posOffset>38100</wp:posOffset>
                </wp:positionV>
                <wp:extent cx="1668780" cy="891540"/>
                <wp:effectExtent l="0" t="0" r="7620" b="3810"/>
                <wp:wrapTight wrapText="bothSides">
                  <wp:wrapPolygon edited="0">
                    <wp:start x="4932" y="0"/>
                    <wp:lineTo x="4932" y="7385"/>
                    <wp:lineTo x="0" y="12923"/>
                    <wp:lineTo x="0" y="21231"/>
                    <wp:lineTo x="21452" y="21231"/>
                    <wp:lineTo x="21452" y="12462"/>
                    <wp:lineTo x="12329" y="7385"/>
                    <wp:lineTo x="12329" y="0"/>
                    <wp:lineTo x="4932" y="0"/>
                  </wp:wrapPolygon>
                </wp:wrapTight>
                <wp:docPr id="5" name="Gruppieren 5"/>
                <wp:cNvGraphicFramePr/>
                <a:graphic xmlns:a="http://schemas.openxmlformats.org/drawingml/2006/main">
                  <a:graphicData uri="http://schemas.microsoft.com/office/word/2010/wordprocessingGroup">
                    <wpg:wgp>
                      <wpg:cNvGrpSpPr/>
                      <wpg:grpSpPr>
                        <a:xfrm>
                          <a:off x="0" y="0"/>
                          <a:ext cx="1668780" cy="891540"/>
                          <a:chOff x="-685800" y="0"/>
                          <a:chExt cx="1905000" cy="891540"/>
                        </a:xfrm>
                      </wpg:grpSpPr>
                      <wps:wsp>
                        <wps:cNvPr id="1" name="Textfeld 1"/>
                        <wps:cNvSpPr txBox="1"/>
                        <wps:spPr>
                          <a:xfrm>
                            <a:off x="-685800" y="541020"/>
                            <a:ext cx="1905000" cy="350520"/>
                          </a:xfrm>
                          <a:prstGeom prst="rect">
                            <a:avLst/>
                          </a:prstGeom>
                          <a:solidFill>
                            <a:schemeClr val="lt1"/>
                          </a:solidFill>
                          <a:ln w="6350">
                            <a:noFill/>
                          </a:ln>
                        </wps:spPr>
                        <wps:txbx>
                          <w:txbxContent>
                            <w:p w:rsidR="00FC633F" w:rsidRPr="00FC633F" w:rsidRDefault="00FC633F" w:rsidP="00FC633F">
                              <w:pPr>
                                <w:jc w:val="center"/>
                                <w:rPr>
                                  <w:rFonts w:ascii="Bahnschrift Light" w:hAnsi="Bahnschrift Light"/>
                                  <w:sz w:val="28"/>
                                </w:rPr>
                              </w:pPr>
                              <w:r w:rsidRPr="00FC633F">
                                <w:rPr>
                                  <w:rFonts w:ascii="Bahnschrift Light" w:hAnsi="Bahnschrift Light"/>
                                  <w:sz w:val="28"/>
                                </w:rPr>
                                <w:t>GolfTech</w:t>
                              </w:r>
                              <w:r w:rsidR="00142DB9">
                                <w:rPr>
                                  <w:rFonts w:ascii="Bahnschrift Light" w:hAnsi="Bahnschrift Light"/>
                                  <w:sz w:val="28"/>
                                </w:rPr>
                                <w:t xml:space="preserve"> Kirrle</w:t>
                              </w:r>
                              <w:r w:rsidRPr="00FC633F">
                                <w:rPr>
                                  <w:rFonts w:ascii="Bahnschrift Light" w:hAnsi="Bahnschrift Light"/>
                                  <w:sz w:val="28"/>
                                </w:rPr>
                                <w:t xml:space="preserve">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205740" y="0"/>
                            <a:ext cx="586740" cy="594360"/>
                          </a:xfrm>
                          <a:prstGeom prst="rect">
                            <a:avLst/>
                          </a:prstGeom>
                          <a:solidFill>
                            <a:schemeClr val="lt1"/>
                          </a:solidFill>
                          <a:ln w="6350">
                            <a:noFill/>
                          </a:ln>
                        </wps:spPr>
                        <wps:txbx>
                          <w:txbxContent>
                            <w:p w:rsidR="00FC633F" w:rsidRPr="00FC633F" w:rsidRDefault="00FC633F" w:rsidP="00FC633F">
                              <w:pPr>
                                <w:jc w:val="center"/>
                                <w:rPr>
                                  <w:sz w:val="28"/>
                                </w:rPr>
                              </w:pPr>
                              <w:r w:rsidRPr="00FC633F">
                                <w:rPr>
                                  <w:rFonts w:asciiTheme="minorHAnsi" w:hAnsiTheme="minorHAnsi"/>
                                  <w:color w:val="000000" w:themeColor="text1"/>
                                  <w:sz w:val="96"/>
                                </w:rPr>
                                <w:sym w:font="Webdings" w:char="F077"/>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2D3163" id="Gruppieren 5" o:spid="_x0000_s1026" style="position:absolute;margin-left:393.3pt;margin-top:3pt;width:131.4pt;height:70.2pt;z-index:-251653120;mso-width-relative:margin;mso-height-relative:margin" coordorigin="-6858" coordsize="19050,8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">
                <v:shapetype id="_x0000_t202" coordsize="21600,21600" o:spt="202" path="m,l,21600r21600,l21600,xe">
                  <v:stroke joinstyle="miter"/>
                  <v:path gradientshapeok="t" o:connecttype="rect"/>
                </v:shapetype>
                <v:shape id="Textfeld 1" o:spid="_x0000_s1027" type="#_x0000_t202" style="position:absolute;left:-6858;top:5410;width:1905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" fillcolor="white [3201]" stroked="f" strokeweight=".5pt">
                  <v:textbox>
                    <w:txbxContent>
                      <w:p w:rsidR="00FC633F" w:rsidRPr="00FC633F" w:rsidRDefault="00FC633F" w:rsidP="00FC633F">
                        <w:pPr>
                          <w:jc w:val="center"/>
                          <w:rPr>
                            <w:rFonts w:ascii="Bahnschrift Light" w:hAnsi="Bahnschrift Light"/>
                            <w:sz w:val="28"/>
                          </w:rPr>
                        </w:pPr>
                        <w:r w:rsidRPr="00FC633F">
                          <w:rPr>
                            <w:rFonts w:ascii="Bahnschrift Light" w:hAnsi="Bahnschrift Light"/>
                            <w:sz w:val="28"/>
                          </w:rPr>
                          <w:t>GolfTech</w:t>
                        </w:r>
                        <w:r w:rsidR="00142DB9">
                          <w:rPr>
                            <w:rFonts w:ascii="Bahnschrift Light" w:hAnsi="Bahnschrift Light"/>
                            <w:sz w:val="28"/>
                          </w:rPr>
                          <w:t xml:space="preserve"> Kirrle</w:t>
                        </w:r>
                        <w:r w:rsidRPr="00FC633F">
                          <w:rPr>
                            <w:rFonts w:ascii="Bahnschrift Light" w:hAnsi="Bahnschrift Light"/>
                            <w:sz w:val="28"/>
                          </w:rPr>
                          <w:t xml:space="preserve"> KG</w:t>
                        </w:r>
                      </w:p>
                    </w:txbxContent>
                  </v:textbox>
                </v:shape>
                <v:shape id="Textfeld 4" o:spid="_x0000_s1028" type="#_x0000_t202" style="position:absolute;left:-2057;width:5867;height:5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rsidR="00FC633F" w:rsidRPr="00FC633F" w:rsidRDefault="00FC633F" w:rsidP="00FC633F">
                        <w:pPr>
                          <w:jc w:val="center"/>
                          <w:rPr>
                            <w:sz w:val="28"/>
                          </w:rPr>
                        </w:pPr>
                        <w:r w:rsidRPr="00FC633F">
                          <w:rPr>
                            <w:rFonts w:asciiTheme="minorHAnsi" w:hAnsiTheme="minorHAnsi"/>
                            <w:color w:val="000000" w:themeColor="text1"/>
                            <w:sz w:val="96"/>
                          </w:rPr>
                          <w:sym w:font="Webdings" w:char="F077"/>
                        </w:r>
                      </w:p>
                    </w:txbxContent>
                  </v:textbox>
                </v:shape>
                <w10:wrap type="tight"/>
              </v:group>
            </w:pict>
          </mc:Fallback>
        </mc:AlternateContent>
      </w:r>
    </w:p>
    <w:p w:rsidR="003E008E" w:rsidRDefault="00FC633F" w:rsidP="00C1787D">
      <w:pPr>
        <w:pStyle w:val="T"/>
        <w:rPr>
          <w:rFonts w:asciiTheme="minorHAnsi" w:hAnsiTheme="minorHAnsi"/>
          <w:color w:val="000000" w:themeColor="text1"/>
        </w:rPr>
      </w:pPr>
      <w:r>
        <w:rPr>
          <w:rFonts w:asciiTheme="minorHAnsi" w:hAnsiTheme="minorHAnsi"/>
          <w:color w:val="000000" w:themeColor="text1"/>
        </w:rPr>
        <w:t xml:space="preserve">Die GolfTech </w:t>
      </w:r>
      <w:r w:rsidR="00142DB9">
        <w:rPr>
          <w:rFonts w:asciiTheme="minorHAnsi" w:hAnsiTheme="minorHAnsi"/>
          <w:color w:val="000000" w:themeColor="text1"/>
        </w:rPr>
        <w:t xml:space="preserve">Kirrle </w:t>
      </w:r>
      <w:r>
        <w:rPr>
          <w:rFonts w:asciiTheme="minorHAnsi" w:hAnsiTheme="minorHAnsi"/>
          <w:color w:val="000000" w:themeColor="text1"/>
        </w:rPr>
        <w:t xml:space="preserve">KG stellt </w:t>
      </w:r>
      <w:r w:rsidR="00FA4DBB">
        <w:rPr>
          <w:rFonts w:asciiTheme="minorHAnsi" w:hAnsiTheme="minorHAnsi"/>
          <w:color w:val="000000" w:themeColor="text1"/>
        </w:rPr>
        <w:t>Golfschläger</w:t>
      </w:r>
      <w:r>
        <w:rPr>
          <w:rFonts w:asciiTheme="minorHAnsi" w:hAnsiTheme="minorHAnsi"/>
          <w:color w:val="000000" w:themeColor="text1"/>
        </w:rPr>
        <w:t xml:space="preserve"> her</w:t>
      </w:r>
      <w:r w:rsidR="003E008E">
        <w:rPr>
          <w:rFonts w:asciiTheme="minorHAnsi" w:hAnsiTheme="minorHAnsi"/>
          <w:color w:val="000000" w:themeColor="text1"/>
        </w:rPr>
        <w:t xml:space="preserve">. Sie sind Auszubildende/r zum Kaufmann/frau für Büromanagement im 2. Ausbildungsjahr bei der GolfTech Kirrle KG und derzeit in der Buchhaltung eingesetzt. </w:t>
      </w:r>
    </w:p>
    <w:p w:rsidR="003E008E" w:rsidRDefault="003E008E" w:rsidP="00C1787D">
      <w:pPr>
        <w:pStyle w:val="T"/>
        <w:rPr>
          <w:rFonts w:asciiTheme="minorHAnsi" w:hAnsiTheme="minorHAnsi"/>
          <w:color w:val="000000" w:themeColor="text1"/>
        </w:rPr>
      </w:pPr>
    </w:p>
    <w:p w:rsidR="00634655" w:rsidRDefault="00535BEE" w:rsidP="00C1787D">
      <w:pPr>
        <w:pStyle w:val="T"/>
        <w:rPr>
          <w:rFonts w:asciiTheme="minorHAnsi" w:hAnsiTheme="minorHAnsi"/>
          <w:color w:val="000000" w:themeColor="text1"/>
        </w:rPr>
      </w:pPr>
      <w:r>
        <w:rPr>
          <w:rFonts w:asciiTheme="minorHAnsi" w:hAnsiTheme="minorHAnsi"/>
          <w:color w:val="000000" w:themeColor="text1"/>
        </w:rPr>
        <w:t xml:space="preserve">Die Buchhaltung wird zu Beginn des nächsten Monats in den gerade fertiggestellten Neubau umziehen. </w:t>
      </w:r>
      <w:r w:rsidR="00092435">
        <w:rPr>
          <w:rFonts w:asciiTheme="minorHAnsi" w:hAnsiTheme="minorHAnsi"/>
          <w:color w:val="000000" w:themeColor="text1"/>
        </w:rPr>
        <w:t>Im bisherigen Büro türmen sich hunderte Ordner mit Rechnungen, Bestellungen, Angeboten und andere Dokumente</w:t>
      </w:r>
      <w:r w:rsidR="006D1132">
        <w:rPr>
          <w:rFonts w:asciiTheme="minorHAnsi" w:hAnsiTheme="minorHAnsi"/>
          <w:color w:val="000000" w:themeColor="text1"/>
        </w:rPr>
        <w:t>n</w:t>
      </w:r>
      <w:r w:rsidR="00092435">
        <w:rPr>
          <w:rFonts w:asciiTheme="minorHAnsi" w:hAnsiTheme="minorHAnsi"/>
          <w:color w:val="000000" w:themeColor="text1"/>
        </w:rPr>
        <w:t xml:space="preserve">. </w:t>
      </w:r>
      <w:r w:rsidR="006D1132">
        <w:rPr>
          <w:rFonts w:asciiTheme="minorHAnsi" w:hAnsiTheme="minorHAnsi"/>
          <w:color w:val="000000" w:themeColor="text1"/>
        </w:rPr>
        <w:t xml:space="preserve">Seit Gründung des Unternehmens vor 22 Jahren wurden alle Dokumente aufbewahrt. </w:t>
      </w:r>
      <w:r w:rsidR="00634655">
        <w:rPr>
          <w:rFonts w:asciiTheme="minorHAnsi" w:hAnsiTheme="minorHAnsi"/>
          <w:color w:val="000000" w:themeColor="text1"/>
        </w:rPr>
        <w:t>Der Umzug soll genutzt werden, um nicht mehr benötigte Unterlagen zu vernichten. Ab sofort sollen Unterlagen nur noch so lange aufbewahrt werden, wie es gesetzlich vorgeschrieben ist.</w:t>
      </w:r>
    </w:p>
    <w:p w:rsidR="00634655" w:rsidRDefault="00634655" w:rsidP="00C1787D">
      <w:pPr>
        <w:pStyle w:val="T"/>
        <w:rPr>
          <w:rFonts w:asciiTheme="minorHAnsi" w:hAnsiTheme="minorHAnsi"/>
          <w:color w:val="000000" w:themeColor="text1"/>
        </w:rPr>
      </w:pPr>
    </w:p>
    <w:p w:rsidR="003E008E" w:rsidRDefault="0025640C" w:rsidP="00C1787D">
      <w:pPr>
        <w:pStyle w:val="T"/>
        <w:rPr>
          <w:rFonts w:asciiTheme="minorHAnsi" w:hAnsiTheme="minorHAnsi"/>
          <w:color w:val="000000" w:themeColor="text1"/>
        </w:rPr>
      </w:pPr>
      <w:r>
        <w:rPr>
          <w:rFonts w:asciiTheme="minorHAnsi" w:hAnsiTheme="minorHAnsi"/>
          <w:noProof/>
          <w:color w:val="000000" w:themeColor="text1"/>
        </w:rPr>
        <mc:AlternateContent>
          <mc:Choice Requires="wps">
            <w:drawing>
              <wp:anchor distT="0" distB="0" distL="114300" distR="114300" simplePos="0" relativeHeight="251664384" behindDoc="1" locked="0" layoutInCell="1" allowOverlap="1">
                <wp:simplePos x="0" y="0"/>
                <wp:positionH relativeFrom="column">
                  <wp:posOffset>3615690</wp:posOffset>
                </wp:positionH>
                <wp:positionV relativeFrom="paragraph">
                  <wp:posOffset>318135</wp:posOffset>
                </wp:positionV>
                <wp:extent cx="2484120" cy="495300"/>
                <wp:effectExtent l="0" t="0" r="11430" b="19050"/>
                <wp:wrapTight wrapText="bothSides">
                  <wp:wrapPolygon edited="0">
                    <wp:start x="0" y="0"/>
                    <wp:lineTo x="0" y="21600"/>
                    <wp:lineTo x="21534" y="21600"/>
                    <wp:lineTo x="21534" y="0"/>
                    <wp:lineTo x="0" y="0"/>
                  </wp:wrapPolygon>
                </wp:wrapTight>
                <wp:docPr id="2" name="Textfeld 2"/>
                <wp:cNvGraphicFramePr/>
                <a:graphic xmlns:a="http://schemas.openxmlformats.org/drawingml/2006/main">
                  <a:graphicData uri="http://schemas.microsoft.com/office/word/2010/wordprocessingShape">
                    <wps:wsp>
                      <wps:cNvSpPr txBox="1"/>
                      <wps:spPr>
                        <a:xfrm>
                          <a:off x="0" y="0"/>
                          <a:ext cx="2484120" cy="495300"/>
                        </a:xfrm>
                        <a:prstGeom prst="rect">
                          <a:avLst/>
                        </a:prstGeom>
                        <a:solidFill>
                          <a:schemeClr val="lt1"/>
                        </a:solidFill>
                        <a:ln w="3175">
                          <a:solidFill>
                            <a:prstClr val="black"/>
                          </a:solidFill>
                          <a:prstDash val="dash"/>
                        </a:ln>
                      </wps:spPr>
                      <wps:txbx>
                        <w:txbxContent>
                          <w:p w:rsidR="00634655" w:rsidRPr="00634655" w:rsidRDefault="00634655">
                            <w:pPr>
                              <w:rPr>
                                <w:rFonts w:asciiTheme="minorHAnsi" w:hAnsiTheme="minorHAnsi" w:cstheme="minorHAnsi"/>
                                <w:i/>
                                <w:sz w:val="22"/>
                              </w:rPr>
                            </w:pPr>
                            <w:r>
                              <w:t>*</w:t>
                            </w:r>
                            <w:r w:rsidRPr="00634655">
                              <w:rPr>
                                <w:rFonts w:asciiTheme="minorHAnsi" w:hAnsiTheme="minorHAnsi" w:cstheme="minorHAnsi"/>
                                <w:i/>
                                <w:sz w:val="22"/>
                              </w:rPr>
                              <w:t>Reißwolf = Aktenvernichter</w:t>
                            </w:r>
                          </w:p>
                          <w:p w:rsidR="00634655" w:rsidRPr="00634655" w:rsidRDefault="00634655">
                            <w:pPr>
                              <w:rPr>
                                <w:rFonts w:asciiTheme="minorHAnsi" w:hAnsiTheme="minorHAnsi" w:cstheme="minorHAnsi"/>
                                <w:i/>
                                <w:sz w:val="22"/>
                              </w:rPr>
                            </w:pPr>
                            <w:r w:rsidRPr="00634655">
                              <w:rPr>
                                <w:rFonts w:asciiTheme="minorHAnsi" w:hAnsiTheme="minorHAnsi" w:cstheme="minorHAnsi"/>
                                <w:i/>
                                <w:sz w:val="22"/>
                              </w:rPr>
                              <w:t>Gerät zum Vernichten von Dokumenten.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 o:spid="_x0000_s1029" type="#_x0000_t202" style="position:absolute;margin-left:284.7pt;margin-top:25.05pt;width:195.6pt;height:39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" fillcolor="white [3201]" strokeweight=".25pt">
                <v:stroke dashstyle="dash"/>
                <v:textbox>
                  <w:txbxContent>
                    <w:p w:rsidR="00634655" w:rsidRPr="00634655" w:rsidRDefault="00634655">
                      <w:pPr>
                        <w:rPr>
                          <w:rFonts w:asciiTheme="minorHAnsi" w:hAnsiTheme="minorHAnsi" w:cstheme="minorHAnsi"/>
                          <w:i/>
                          <w:sz w:val="22"/>
                        </w:rPr>
                      </w:pPr>
                      <w:r>
                        <w:t>*</w:t>
                      </w:r>
                      <w:r w:rsidRPr="00634655">
                        <w:rPr>
                          <w:rFonts w:asciiTheme="minorHAnsi" w:hAnsiTheme="minorHAnsi" w:cstheme="minorHAnsi"/>
                          <w:i/>
                          <w:sz w:val="22"/>
                        </w:rPr>
                        <w:t>Reißwolf = Aktenvernichter</w:t>
                      </w:r>
                    </w:p>
                    <w:p w:rsidR="00634655" w:rsidRPr="00634655" w:rsidRDefault="00634655">
                      <w:pPr>
                        <w:rPr>
                          <w:rFonts w:asciiTheme="minorHAnsi" w:hAnsiTheme="minorHAnsi" w:cstheme="minorHAnsi"/>
                          <w:i/>
                          <w:sz w:val="22"/>
                        </w:rPr>
                      </w:pPr>
                      <w:r w:rsidRPr="00634655">
                        <w:rPr>
                          <w:rFonts w:asciiTheme="minorHAnsi" w:hAnsiTheme="minorHAnsi" w:cstheme="minorHAnsi"/>
                          <w:i/>
                          <w:sz w:val="22"/>
                        </w:rPr>
                        <w:t>Gerät zum Vernichten von Dokumenten.</w:t>
                      </w:r>
                    </w:p>
                  </w:txbxContent>
                </v:textbox>
                <w10:wrap type="tight"/>
              </v:shape>
            </w:pict>
          </mc:Fallback>
        </mc:AlternateContent>
      </w:r>
      <w:r w:rsidR="00634655">
        <w:rPr>
          <w:rFonts w:asciiTheme="minorHAnsi" w:hAnsiTheme="minorHAnsi"/>
          <w:color w:val="000000" w:themeColor="text1"/>
        </w:rPr>
        <w:t xml:space="preserve">Sie werden von Ihrem Ausbilder beauftragt, </w:t>
      </w:r>
      <w:r w:rsidR="006D1132">
        <w:rPr>
          <w:rFonts w:asciiTheme="minorHAnsi" w:hAnsiTheme="minorHAnsi"/>
          <w:color w:val="000000" w:themeColor="text1"/>
        </w:rPr>
        <w:t xml:space="preserve">ein Kapitel für das Mitarbeiterhandbuch des Unternehmens zu erstellen. Anschließend sollen Sie </w:t>
      </w:r>
      <w:r w:rsidR="00634655">
        <w:rPr>
          <w:rFonts w:asciiTheme="minorHAnsi" w:hAnsiTheme="minorHAnsi"/>
          <w:color w:val="000000" w:themeColor="text1"/>
        </w:rPr>
        <w:t>alle Dokumente</w:t>
      </w:r>
      <w:r w:rsidR="006D1132">
        <w:rPr>
          <w:rFonts w:asciiTheme="minorHAnsi" w:hAnsiTheme="minorHAnsi"/>
          <w:color w:val="000000" w:themeColor="text1"/>
        </w:rPr>
        <w:t>,</w:t>
      </w:r>
      <w:r w:rsidR="00634655">
        <w:rPr>
          <w:rFonts w:asciiTheme="minorHAnsi" w:hAnsiTheme="minorHAnsi"/>
          <w:color w:val="000000" w:themeColor="text1"/>
        </w:rPr>
        <w:t xml:space="preserve"> für die keine gesetzliche Aufbewahrungspflicht besteht, mit dem Reißwolf* vernichten. </w:t>
      </w:r>
      <w:r w:rsidR="006D1132">
        <w:rPr>
          <w:rFonts w:asciiTheme="minorHAnsi" w:hAnsiTheme="minorHAnsi"/>
          <w:color w:val="000000" w:themeColor="text1"/>
        </w:rPr>
        <w:t xml:space="preserve">Um zu vermeiden, dass </w:t>
      </w:r>
      <w:r>
        <w:rPr>
          <w:rFonts w:asciiTheme="minorHAnsi" w:hAnsiTheme="minorHAnsi"/>
          <w:color w:val="000000" w:themeColor="text1"/>
        </w:rPr>
        <w:t xml:space="preserve">versehentlich </w:t>
      </w:r>
      <w:r w:rsidR="00AC58DB">
        <w:rPr>
          <w:rFonts w:asciiTheme="minorHAnsi" w:hAnsiTheme="minorHAnsi"/>
          <w:color w:val="000000" w:themeColor="text1"/>
        </w:rPr>
        <w:t xml:space="preserve">noch benötigte Dokumente vernichtet werden, </w:t>
      </w:r>
      <w:r>
        <w:rPr>
          <w:rFonts w:asciiTheme="minorHAnsi" w:hAnsiTheme="minorHAnsi"/>
          <w:color w:val="000000" w:themeColor="text1"/>
        </w:rPr>
        <w:t xml:space="preserve">kümmern Sie sich zunächst nur um einige ausgewählte Dokumente. </w:t>
      </w:r>
    </w:p>
    <w:p w:rsidR="003E008E" w:rsidRDefault="003E008E" w:rsidP="00C1787D">
      <w:pPr>
        <w:pStyle w:val="T"/>
        <w:rPr>
          <w:rFonts w:asciiTheme="minorHAnsi" w:hAnsiTheme="minorHAnsi"/>
          <w:color w:val="000000" w:themeColor="text1"/>
        </w:rPr>
      </w:pPr>
    </w:p>
    <w:p w:rsidR="00C1787D" w:rsidRDefault="00C1787D" w:rsidP="00C1787D">
      <w:pPr>
        <w:pStyle w:val="T"/>
        <w:rPr>
          <w:rFonts w:asciiTheme="minorHAnsi" w:hAnsiTheme="minorHAnsi"/>
          <w:sz w:val="14"/>
        </w:rPr>
      </w:pPr>
    </w:p>
    <w:p w:rsidR="00F603C6" w:rsidRPr="007565B7" w:rsidRDefault="00F603C6" w:rsidP="00C1787D">
      <w:pPr>
        <w:pStyle w:val="T"/>
        <w:rPr>
          <w:rFonts w:asciiTheme="minorHAnsi" w:hAnsiTheme="minorHAnsi"/>
          <w:sz w:val="14"/>
        </w:rPr>
      </w:pPr>
    </w:p>
    <w:p w:rsidR="00C1787D" w:rsidRPr="0033141D" w:rsidRDefault="00C1787D" w:rsidP="00C1787D">
      <w:pPr>
        <w:pStyle w:val="t0Auftrge"/>
        <w:rPr>
          <w:rFonts w:asciiTheme="minorHAnsi" w:hAnsiTheme="minorHAnsi" w:cstheme="minorHAnsi"/>
          <w:sz w:val="24"/>
        </w:rPr>
      </w:pPr>
      <w:r w:rsidRPr="0033141D">
        <w:rPr>
          <w:rFonts w:asciiTheme="minorHAnsi" w:hAnsiTheme="minorHAnsi" w:cstheme="minorHAnsi"/>
          <w:sz w:val="24"/>
        </w:rPr>
        <w:t>Auf</w:t>
      </w:r>
      <w:r w:rsidR="00634655">
        <w:rPr>
          <w:rFonts w:asciiTheme="minorHAnsi" w:hAnsiTheme="minorHAnsi" w:cstheme="minorHAnsi"/>
          <w:sz w:val="24"/>
        </w:rPr>
        <w:t>träge</w:t>
      </w:r>
    </w:p>
    <w:p w:rsidR="00C1787D" w:rsidRPr="007565B7" w:rsidRDefault="00C1787D" w:rsidP="00C1787D">
      <w:pPr>
        <w:pStyle w:val="T1"/>
        <w:tabs>
          <w:tab w:val="clear" w:pos="568"/>
          <w:tab w:val="left" w:pos="851"/>
        </w:tabs>
        <w:ind w:left="0"/>
        <w:rPr>
          <w:rFonts w:asciiTheme="minorHAnsi" w:hAnsiTheme="minorHAnsi"/>
          <w:vanish w:val="0"/>
          <w:sz w:val="6"/>
        </w:rPr>
      </w:pPr>
    </w:p>
    <w:p w:rsidR="00C1787D" w:rsidRDefault="00C1787D" w:rsidP="00C1787D">
      <w:pPr>
        <w:pStyle w:val="T1"/>
        <w:tabs>
          <w:tab w:val="clear" w:pos="568"/>
          <w:tab w:val="left" w:pos="851"/>
        </w:tabs>
        <w:ind w:left="0"/>
        <w:rPr>
          <w:rFonts w:asciiTheme="minorHAnsi" w:hAnsiTheme="minorHAnsi"/>
          <w:vanish w:val="0"/>
          <w:color w:val="000000" w:themeColor="text1"/>
        </w:rPr>
      </w:pPr>
    </w:p>
    <w:p w:rsidR="00092435" w:rsidRDefault="00092435" w:rsidP="0025640C">
      <w:pPr>
        <w:pStyle w:val="T1"/>
        <w:numPr>
          <w:ilvl w:val="0"/>
          <w:numId w:val="1"/>
        </w:numPr>
        <w:tabs>
          <w:tab w:val="clear" w:pos="568"/>
          <w:tab w:val="left" w:pos="851"/>
        </w:tabs>
        <w:ind w:left="426" w:hanging="426"/>
        <w:rPr>
          <w:rFonts w:asciiTheme="minorHAnsi" w:hAnsiTheme="minorHAnsi"/>
          <w:vanish w:val="0"/>
          <w:color w:val="000000" w:themeColor="text1"/>
        </w:rPr>
      </w:pPr>
      <w:r>
        <w:rPr>
          <w:rFonts w:asciiTheme="minorHAnsi" w:hAnsiTheme="minorHAnsi"/>
          <w:vanish w:val="0"/>
          <w:color w:val="000000" w:themeColor="text1"/>
        </w:rPr>
        <w:t>Erstellen Sie für das Mitarbeiterhandbuch ein Kapitel zum Thema „</w:t>
      </w:r>
      <w:r w:rsidRPr="00A91F76">
        <w:rPr>
          <w:rFonts w:asciiTheme="minorHAnsi" w:hAnsiTheme="minorHAnsi"/>
          <w:i/>
          <w:vanish w:val="0"/>
          <w:color w:val="000000" w:themeColor="text1"/>
        </w:rPr>
        <w:t>Gesetzliche Aufbewahrungsfristen von Dokumenten</w:t>
      </w:r>
      <w:r>
        <w:rPr>
          <w:rFonts w:asciiTheme="minorHAnsi" w:hAnsiTheme="minorHAnsi"/>
          <w:vanish w:val="0"/>
          <w:color w:val="000000" w:themeColor="text1"/>
        </w:rPr>
        <w:t xml:space="preserve">“ </w:t>
      </w:r>
      <w:r w:rsidR="006D1132">
        <w:rPr>
          <w:rFonts w:asciiTheme="minorHAnsi" w:hAnsiTheme="minorHAnsi"/>
          <w:vanish w:val="0"/>
          <w:color w:val="000000" w:themeColor="text1"/>
        </w:rPr>
        <w:t>(Anlage</w:t>
      </w:r>
      <w:r w:rsidR="00B91660">
        <w:rPr>
          <w:rFonts w:asciiTheme="minorHAnsi" w:hAnsiTheme="minorHAnsi"/>
          <w:vanish w:val="0"/>
          <w:color w:val="000000" w:themeColor="text1"/>
        </w:rPr>
        <w:t>n 1 bis 3). Gehen Sie folgendermaßen vor:</w:t>
      </w:r>
    </w:p>
    <w:p w:rsidR="00B91660" w:rsidRDefault="00B91660" w:rsidP="00B91660">
      <w:pPr>
        <w:pStyle w:val="T1"/>
        <w:tabs>
          <w:tab w:val="clear" w:pos="568"/>
          <w:tab w:val="left" w:pos="851"/>
        </w:tabs>
        <w:ind w:left="0"/>
        <w:rPr>
          <w:rFonts w:asciiTheme="minorHAnsi" w:hAnsiTheme="minorHAnsi"/>
          <w:vanish w:val="0"/>
          <w:color w:val="000000" w:themeColor="text1"/>
        </w:rPr>
      </w:pPr>
    </w:p>
    <w:p w:rsidR="00B91660" w:rsidRDefault="00B91660" w:rsidP="00B91660">
      <w:pPr>
        <w:pStyle w:val="T1"/>
        <w:numPr>
          <w:ilvl w:val="0"/>
          <w:numId w:val="2"/>
        </w:numPr>
        <w:tabs>
          <w:tab w:val="clear" w:pos="568"/>
          <w:tab w:val="left" w:pos="851"/>
        </w:tabs>
        <w:rPr>
          <w:rFonts w:asciiTheme="minorHAnsi" w:hAnsiTheme="minorHAnsi"/>
          <w:vanish w:val="0"/>
          <w:color w:val="000000" w:themeColor="text1"/>
        </w:rPr>
      </w:pPr>
      <w:r>
        <w:rPr>
          <w:rFonts w:asciiTheme="minorHAnsi" w:hAnsiTheme="minorHAnsi"/>
          <w:vanish w:val="0"/>
          <w:color w:val="000000" w:themeColor="text1"/>
        </w:rPr>
        <w:t>Stellen Sie drei bis fünf Fragen an die Paragrafen (Anlage 2 und Anlage 3).</w:t>
      </w:r>
    </w:p>
    <w:p w:rsidR="00B91660" w:rsidRDefault="00B91660" w:rsidP="00B91660">
      <w:pPr>
        <w:pStyle w:val="T1"/>
        <w:numPr>
          <w:ilvl w:val="0"/>
          <w:numId w:val="2"/>
        </w:numPr>
        <w:tabs>
          <w:tab w:val="clear" w:pos="568"/>
          <w:tab w:val="left" w:pos="851"/>
        </w:tabs>
        <w:rPr>
          <w:rFonts w:asciiTheme="minorHAnsi" w:hAnsiTheme="minorHAnsi"/>
          <w:vanish w:val="0"/>
          <w:color w:val="000000" w:themeColor="text1"/>
        </w:rPr>
      </w:pPr>
      <w:r>
        <w:rPr>
          <w:rFonts w:asciiTheme="minorHAnsi" w:hAnsiTheme="minorHAnsi"/>
          <w:vanish w:val="0"/>
          <w:color w:val="000000" w:themeColor="text1"/>
        </w:rPr>
        <w:t>Not</w:t>
      </w:r>
      <w:r w:rsidR="00A91F76">
        <w:rPr>
          <w:rFonts w:asciiTheme="minorHAnsi" w:hAnsiTheme="minorHAnsi"/>
          <w:vanish w:val="0"/>
          <w:color w:val="000000" w:themeColor="text1"/>
        </w:rPr>
        <w:t xml:space="preserve">ieren Sie </w:t>
      </w:r>
      <w:r w:rsidR="00626D6A">
        <w:rPr>
          <w:rFonts w:asciiTheme="minorHAnsi" w:hAnsiTheme="minorHAnsi"/>
          <w:vanish w:val="0"/>
          <w:color w:val="000000" w:themeColor="text1"/>
        </w:rPr>
        <w:t>Ihre</w:t>
      </w:r>
      <w:r w:rsidR="00A91F76">
        <w:rPr>
          <w:rFonts w:asciiTheme="minorHAnsi" w:hAnsiTheme="minorHAnsi"/>
          <w:vanish w:val="0"/>
          <w:color w:val="000000" w:themeColor="text1"/>
        </w:rPr>
        <w:t xml:space="preserve"> Fragen in Anlage 5</w:t>
      </w:r>
      <w:r>
        <w:rPr>
          <w:rFonts w:asciiTheme="minorHAnsi" w:hAnsiTheme="minorHAnsi"/>
          <w:vanish w:val="0"/>
          <w:color w:val="000000" w:themeColor="text1"/>
        </w:rPr>
        <w:t xml:space="preserve">. </w:t>
      </w:r>
    </w:p>
    <w:p w:rsidR="00B91660" w:rsidRDefault="00A91F76" w:rsidP="00B91660">
      <w:pPr>
        <w:pStyle w:val="T1"/>
        <w:numPr>
          <w:ilvl w:val="0"/>
          <w:numId w:val="2"/>
        </w:numPr>
        <w:tabs>
          <w:tab w:val="clear" w:pos="568"/>
          <w:tab w:val="left" w:pos="851"/>
        </w:tabs>
        <w:rPr>
          <w:rFonts w:asciiTheme="minorHAnsi" w:hAnsiTheme="minorHAnsi"/>
          <w:vanish w:val="0"/>
          <w:color w:val="000000" w:themeColor="text1"/>
        </w:rPr>
      </w:pPr>
      <w:r>
        <w:rPr>
          <w:rFonts w:asciiTheme="minorHAnsi" w:hAnsiTheme="minorHAnsi"/>
          <w:vanish w:val="0"/>
          <w:color w:val="000000" w:themeColor="text1"/>
        </w:rPr>
        <w:t xml:space="preserve">Tauschen Sie </w:t>
      </w:r>
      <w:r w:rsidR="00626D6A">
        <w:rPr>
          <w:rFonts w:asciiTheme="minorHAnsi" w:hAnsiTheme="minorHAnsi"/>
          <w:vanish w:val="0"/>
          <w:color w:val="000000" w:themeColor="text1"/>
        </w:rPr>
        <w:t>Ihre</w:t>
      </w:r>
      <w:r>
        <w:rPr>
          <w:rFonts w:asciiTheme="minorHAnsi" w:hAnsiTheme="minorHAnsi"/>
          <w:vanish w:val="0"/>
          <w:color w:val="000000" w:themeColor="text1"/>
        </w:rPr>
        <w:t xml:space="preserve"> Fragen mit einem/r Partner/in aus und beantworten Sie </w:t>
      </w:r>
      <w:r w:rsidR="00626D6A">
        <w:rPr>
          <w:rFonts w:asciiTheme="minorHAnsi" w:hAnsiTheme="minorHAnsi"/>
          <w:vanish w:val="0"/>
          <w:color w:val="000000" w:themeColor="text1"/>
        </w:rPr>
        <w:t xml:space="preserve">sich </w:t>
      </w:r>
      <w:r>
        <w:rPr>
          <w:rFonts w:asciiTheme="minorHAnsi" w:hAnsiTheme="minorHAnsi"/>
          <w:vanish w:val="0"/>
          <w:color w:val="000000" w:themeColor="text1"/>
        </w:rPr>
        <w:t>gegenseitig Ihre Fragen.</w:t>
      </w:r>
    </w:p>
    <w:p w:rsidR="00A91F76" w:rsidRDefault="00A91F76" w:rsidP="00B91660">
      <w:pPr>
        <w:pStyle w:val="T1"/>
        <w:numPr>
          <w:ilvl w:val="0"/>
          <w:numId w:val="2"/>
        </w:numPr>
        <w:tabs>
          <w:tab w:val="clear" w:pos="568"/>
          <w:tab w:val="left" w:pos="851"/>
        </w:tabs>
        <w:rPr>
          <w:rFonts w:asciiTheme="minorHAnsi" w:hAnsiTheme="minorHAnsi"/>
          <w:vanish w:val="0"/>
          <w:color w:val="000000" w:themeColor="text1"/>
        </w:rPr>
      </w:pPr>
      <w:r>
        <w:rPr>
          <w:rFonts w:asciiTheme="minorHAnsi" w:hAnsiTheme="minorHAnsi"/>
          <w:vanish w:val="0"/>
          <w:color w:val="000000" w:themeColor="text1"/>
        </w:rPr>
        <w:t xml:space="preserve">Erstellen Sie das Kapitel für das Mitarbeiterhandbuch in Einzelarbeit. </w:t>
      </w:r>
    </w:p>
    <w:p w:rsidR="006D1132" w:rsidRDefault="006D1132" w:rsidP="00A91F76">
      <w:pPr>
        <w:pStyle w:val="T1"/>
        <w:tabs>
          <w:tab w:val="clear" w:pos="568"/>
          <w:tab w:val="left" w:pos="851"/>
        </w:tabs>
        <w:ind w:left="0"/>
        <w:rPr>
          <w:rFonts w:asciiTheme="minorHAnsi" w:hAnsiTheme="minorHAnsi"/>
          <w:vanish w:val="0"/>
          <w:color w:val="000000" w:themeColor="text1"/>
        </w:rPr>
      </w:pPr>
    </w:p>
    <w:p w:rsidR="006D1132" w:rsidRDefault="006D1132" w:rsidP="0025640C">
      <w:pPr>
        <w:pStyle w:val="T1"/>
        <w:numPr>
          <w:ilvl w:val="0"/>
          <w:numId w:val="1"/>
        </w:numPr>
        <w:tabs>
          <w:tab w:val="clear" w:pos="568"/>
          <w:tab w:val="left" w:pos="851"/>
        </w:tabs>
        <w:ind w:left="426" w:hanging="426"/>
        <w:rPr>
          <w:rFonts w:asciiTheme="minorHAnsi" w:hAnsiTheme="minorHAnsi"/>
          <w:vanish w:val="0"/>
          <w:color w:val="000000" w:themeColor="text1"/>
        </w:rPr>
      </w:pPr>
      <w:r>
        <w:rPr>
          <w:rFonts w:asciiTheme="minorHAnsi" w:hAnsiTheme="minorHAnsi"/>
          <w:vanish w:val="0"/>
          <w:color w:val="000000" w:themeColor="text1"/>
        </w:rPr>
        <w:t xml:space="preserve">Entscheiden Sie für </w:t>
      </w:r>
      <w:r w:rsidR="0025640C">
        <w:rPr>
          <w:rFonts w:asciiTheme="minorHAnsi" w:hAnsiTheme="minorHAnsi"/>
          <w:vanish w:val="0"/>
          <w:color w:val="000000" w:themeColor="text1"/>
        </w:rPr>
        <w:t xml:space="preserve">die </w:t>
      </w:r>
      <w:r>
        <w:rPr>
          <w:rFonts w:asciiTheme="minorHAnsi" w:hAnsiTheme="minorHAnsi"/>
          <w:vanish w:val="0"/>
          <w:color w:val="000000" w:themeColor="text1"/>
        </w:rPr>
        <w:t>ausgewählte</w:t>
      </w:r>
      <w:r w:rsidR="0025640C">
        <w:rPr>
          <w:rFonts w:asciiTheme="minorHAnsi" w:hAnsiTheme="minorHAnsi"/>
          <w:vanish w:val="0"/>
          <w:color w:val="000000" w:themeColor="text1"/>
        </w:rPr>
        <w:t>n</w:t>
      </w:r>
      <w:r>
        <w:rPr>
          <w:rFonts w:asciiTheme="minorHAnsi" w:hAnsiTheme="minorHAnsi"/>
          <w:vanish w:val="0"/>
          <w:color w:val="000000" w:themeColor="text1"/>
        </w:rPr>
        <w:t xml:space="preserve"> Dokumente </w:t>
      </w:r>
      <w:r w:rsidR="00DC4D4F">
        <w:rPr>
          <w:rFonts w:asciiTheme="minorHAnsi" w:hAnsiTheme="minorHAnsi"/>
          <w:vanish w:val="0"/>
          <w:color w:val="000000" w:themeColor="text1"/>
        </w:rPr>
        <w:t xml:space="preserve">durch Ankreuzen </w:t>
      </w:r>
      <w:r>
        <w:rPr>
          <w:rFonts w:asciiTheme="minorHAnsi" w:hAnsiTheme="minorHAnsi"/>
          <w:vanish w:val="0"/>
          <w:color w:val="000000" w:themeColor="text1"/>
        </w:rPr>
        <w:t xml:space="preserve">(Anlage </w:t>
      </w:r>
      <w:r w:rsidR="00A91F76">
        <w:rPr>
          <w:rFonts w:asciiTheme="minorHAnsi" w:hAnsiTheme="minorHAnsi"/>
          <w:vanish w:val="0"/>
          <w:color w:val="000000" w:themeColor="text1"/>
        </w:rPr>
        <w:t>4</w:t>
      </w:r>
      <w:r>
        <w:rPr>
          <w:rFonts w:asciiTheme="minorHAnsi" w:hAnsiTheme="minorHAnsi"/>
          <w:vanish w:val="0"/>
          <w:color w:val="000000" w:themeColor="text1"/>
        </w:rPr>
        <w:t>), ob sie vernichtet werden können.</w:t>
      </w:r>
    </w:p>
    <w:p w:rsidR="00C1787D" w:rsidRPr="00AA5A2E" w:rsidRDefault="00C1787D" w:rsidP="00AA5A2E">
      <w:pPr>
        <w:widowControl/>
        <w:autoSpaceDE/>
        <w:autoSpaceDN/>
        <w:adjustRightInd/>
        <w:spacing w:after="160" w:line="259" w:lineRule="auto"/>
        <w:rPr>
          <w:sz w:val="20"/>
        </w:rPr>
      </w:pPr>
    </w:p>
    <w:p w:rsidR="00C1787D" w:rsidRPr="007565B7" w:rsidRDefault="00C1787D" w:rsidP="00C1787D">
      <w:pPr>
        <w:pStyle w:val="T1"/>
        <w:tabs>
          <w:tab w:val="clear" w:pos="568"/>
          <w:tab w:val="left" w:pos="426"/>
        </w:tabs>
        <w:ind w:left="720"/>
        <w:rPr>
          <w:vanish w:val="0"/>
          <w:sz w:val="20"/>
        </w:rPr>
      </w:pPr>
    </w:p>
    <w:p w:rsidR="00AA5A2E" w:rsidRDefault="00AA5A2E">
      <w:pPr>
        <w:widowControl/>
        <w:autoSpaceDE/>
        <w:autoSpaceDN/>
        <w:adjustRightInd/>
        <w:spacing w:after="160" w:line="259" w:lineRule="auto"/>
        <w:rPr>
          <w:rFonts w:asciiTheme="minorHAnsi" w:hAnsiTheme="minorHAnsi" w:cstheme="minorHAnsi"/>
          <w:b/>
          <w:bCs/>
          <w:szCs w:val="28"/>
        </w:rPr>
      </w:pPr>
      <w:r>
        <w:rPr>
          <w:rFonts w:asciiTheme="minorHAnsi" w:hAnsiTheme="minorHAnsi" w:cstheme="minorHAnsi"/>
        </w:rPr>
        <w:br w:type="page"/>
      </w:r>
    </w:p>
    <w:p w:rsidR="00C1787D" w:rsidRPr="0033141D" w:rsidRDefault="00C1787D" w:rsidP="00C1787D">
      <w:pPr>
        <w:pStyle w:val="t0Auftrge"/>
        <w:rPr>
          <w:rFonts w:asciiTheme="minorHAnsi" w:hAnsiTheme="minorHAnsi" w:cstheme="minorHAnsi"/>
          <w:sz w:val="24"/>
        </w:rPr>
      </w:pPr>
      <w:r w:rsidRPr="0033141D">
        <w:rPr>
          <w:rFonts w:asciiTheme="minorHAnsi" w:hAnsiTheme="minorHAnsi" w:cstheme="minorHAnsi"/>
          <w:sz w:val="24"/>
        </w:rPr>
        <w:lastRenderedPageBreak/>
        <w:t>Datenkranz</w:t>
      </w:r>
    </w:p>
    <w:p w:rsidR="00C1787D" w:rsidRPr="0033141D" w:rsidRDefault="00C1787D" w:rsidP="00C1787D">
      <w:pPr>
        <w:rPr>
          <w:rFonts w:asciiTheme="minorHAnsi" w:hAnsiTheme="minorHAnsi" w:cstheme="minorHAnsi"/>
          <w:sz w:val="22"/>
        </w:rPr>
      </w:pPr>
    </w:p>
    <w:p w:rsidR="00C1787D" w:rsidRPr="00424BD7" w:rsidRDefault="0025640C" w:rsidP="00F603C6">
      <w:pPr>
        <w:ind w:right="-285"/>
        <w:rPr>
          <w:rFonts w:asciiTheme="minorHAnsi" w:hAnsiTheme="minorHAnsi"/>
          <w:color w:val="000000" w:themeColor="text1"/>
        </w:rPr>
      </w:pPr>
      <w:r w:rsidRPr="00424BD7">
        <w:rPr>
          <w:rFonts w:asciiTheme="minorHAnsi" w:hAnsiTheme="minorHAnsi"/>
          <w:color w:val="000000" w:themeColor="text1"/>
          <w:u w:val="single"/>
        </w:rPr>
        <w:t>Anlage 1</w:t>
      </w:r>
      <w:r w:rsidRPr="00424BD7">
        <w:rPr>
          <w:rFonts w:asciiTheme="minorHAnsi" w:hAnsiTheme="minorHAnsi"/>
          <w:color w:val="000000" w:themeColor="text1"/>
        </w:rPr>
        <w:t xml:space="preserve">: Auszug aus einem Fachbuch </w:t>
      </w:r>
    </w:p>
    <w:p w:rsidR="00C1787D" w:rsidRPr="00C1787D" w:rsidRDefault="00C1787D" w:rsidP="00C1787D"/>
    <w:p w:rsidR="0025640C" w:rsidRDefault="0025640C" w:rsidP="0025640C">
      <w:pPr>
        <w:pBdr>
          <w:top w:val="single" w:sz="4" w:space="1" w:color="auto"/>
          <w:left w:val="single" w:sz="4" w:space="4" w:color="auto"/>
          <w:bottom w:val="single" w:sz="4" w:space="1" w:color="auto"/>
          <w:right w:val="single" w:sz="4" w:space="4" w:color="auto"/>
        </w:pBdr>
      </w:pPr>
    </w:p>
    <w:p w:rsidR="00C1787D" w:rsidRPr="0025640C" w:rsidRDefault="0025640C" w:rsidP="0025640C">
      <w:pPr>
        <w:pBdr>
          <w:top w:val="single" w:sz="4" w:space="1" w:color="auto"/>
          <w:left w:val="single" w:sz="4" w:space="4" w:color="auto"/>
          <w:bottom w:val="single" w:sz="4" w:space="1" w:color="auto"/>
          <w:right w:val="single" w:sz="4" w:space="4" w:color="auto"/>
        </w:pBdr>
        <w:rPr>
          <w:b/>
          <w:sz w:val="23"/>
          <w:szCs w:val="23"/>
        </w:rPr>
      </w:pPr>
      <w:r w:rsidRPr="0025640C">
        <w:rPr>
          <w:b/>
          <w:sz w:val="23"/>
          <w:szCs w:val="23"/>
        </w:rPr>
        <w:t>Gesetzliche Aufbewahrungspflichten: Welche Rechtsverordnungen müssen beachtet werden?</w:t>
      </w:r>
    </w:p>
    <w:p w:rsidR="0025640C" w:rsidRPr="0025640C" w:rsidRDefault="0025640C" w:rsidP="0025640C">
      <w:pPr>
        <w:pBdr>
          <w:top w:val="single" w:sz="4" w:space="1" w:color="auto"/>
          <w:left w:val="single" w:sz="4" w:space="4" w:color="auto"/>
          <w:bottom w:val="single" w:sz="4" w:space="1" w:color="auto"/>
          <w:right w:val="single" w:sz="4" w:space="4" w:color="auto"/>
        </w:pBdr>
        <w:rPr>
          <w:sz w:val="23"/>
          <w:szCs w:val="23"/>
        </w:rPr>
      </w:pPr>
    </w:p>
    <w:p w:rsidR="0025640C" w:rsidRDefault="0025640C" w:rsidP="0025640C">
      <w:pPr>
        <w:pBdr>
          <w:top w:val="single" w:sz="4" w:space="1" w:color="auto"/>
          <w:left w:val="single" w:sz="4" w:space="4" w:color="auto"/>
          <w:bottom w:val="single" w:sz="4" w:space="1" w:color="auto"/>
          <w:right w:val="single" w:sz="4" w:space="4" w:color="auto"/>
        </w:pBdr>
        <w:spacing w:line="276" w:lineRule="auto"/>
      </w:pPr>
      <w:r w:rsidRPr="0025640C">
        <w:rPr>
          <w:sz w:val="23"/>
          <w:szCs w:val="23"/>
        </w:rPr>
        <w:t xml:space="preserve">Die Aufbewahrung von Unterlagen ist Pflicht für Unternehmer und in einer Reihe von Gesetzen verankert. Die Aufbewahrungspflicht von Büchern und Unterlagen ist sowohl im </w:t>
      </w:r>
      <w:r w:rsidR="00424BD7" w:rsidRPr="0025640C">
        <w:rPr>
          <w:sz w:val="23"/>
          <w:szCs w:val="23"/>
        </w:rPr>
        <w:t xml:space="preserve">Handelsrecht (Handelsgesetzbuch = HGB) </w:t>
      </w:r>
      <w:r w:rsidR="00424BD7">
        <w:rPr>
          <w:sz w:val="23"/>
          <w:szCs w:val="23"/>
        </w:rPr>
        <w:t xml:space="preserve">als auch im </w:t>
      </w:r>
      <w:r w:rsidRPr="0025640C">
        <w:rPr>
          <w:sz w:val="23"/>
          <w:szCs w:val="23"/>
        </w:rPr>
        <w:t xml:space="preserve">Steuerrecht (Abgabenordnung = AO) geregelt. </w:t>
      </w:r>
      <w:r>
        <w:t>[…]</w:t>
      </w:r>
    </w:p>
    <w:p w:rsidR="0025640C" w:rsidRPr="0025640C" w:rsidRDefault="0025640C" w:rsidP="0025640C">
      <w:pPr>
        <w:pBdr>
          <w:top w:val="single" w:sz="4" w:space="1" w:color="auto"/>
          <w:left w:val="single" w:sz="4" w:space="4" w:color="auto"/>
          <w:bottom w:val="single" w:sz="4" w:space="1" w:color="auto"/>
          <w:right w:val="single" w:sz="4" w:space="4" w:color="auto"/>
        </w:pBdr>
        <w:spacing w:line="276" w:lineRule="auto"/>
        <w:rPr>
          <w:sz w:val="23"/>
          <w:szCs w:val="23"/>
        </w:rPr>
      </w:pPr>
    </w:p>
    <w:p w:rsidR="00C1787D" w:rsidRPr="00C1787D" w:rsidRDefault="00C1787D" w:rsidP="00C1787D"/>
    <w:p w:rsidR="00A91F76" w:rsidRDefault="00A91F76" w:rsidP="00424BD7">
      <w:pPr>
        <w:rPr>
          <w:rFonts w:asciiTheme="minorHAnsi" w:hAnsiTheme="minorHAnsi"/>
          <w:color w:val="000000" w:themeColor="text1"/>
          <w:u w:val="single"/>
        </w:rPr>
      </w:pPr>
    </w:p>
    <w:p w:rsidR="00424BD7" w:rsidRPr="00424BD7" w:rsidRDefault="00424BD7" w:rsidP="00424BD7">
      <w:pPr>
        <w:rPr>
          <w:rFonts w:asciiTheme="minorHAnsi" w:hAnsiTheme="minorHAnsi"/>
          <w:color w:val="000000" w:themeColor="text1"/>
        </w:rPr>
      </w:pPr>
      <w:r w:rsidRPr="00424BD7">
        <w:rPr>
          <w:rFonts w:asciiTheme="minorHAnsi" w:hAnsiTheme="minorHAnsi"/>
          <w:color w:val="000000" w:themeColor="text1"/>
          <w:u w:val="single"/>
        </w:rPr>
        <w:t xml:space="preserve">Anlage </w:t>
      </w:r>
      <w:r>
        <w:rPr>
          <w:rFonts w:asciiTheme="minorHAnsi" w:hAnsiTheme="minorHAnsi"/>
          <w:color w:val="000000" w:themeColor="text1"/>
          <w:u w:val="single"/>
        </w:rPr>
        <w:t>2</w:t>
      </w:r>
      <w:r w:rsidRPr="00424BD7">
        <w:rPr>
          <w:rFonts w:asciiTheme="minorHAnsi" w:hAnsiTheme="minorHAnsi"/>
          <w:color w:val="000000" w:themeColor="text1"/>
        </w:rPr>
        <w:t xml:space="preserve">: Auszug </w:t>
      </w:r>
      <w:r w:rsidR="00035CEF">
        <w:rPr>
          <w:rFonts w:asciiTheme="minorHAnsi" w:hAnsiTheme="minorHAnsi"/>
          <w:color w:val="000000" w:themeColor="text1"/>
        </w:rPr>
        <w:t>aus dem Handelsgesetzbuch (HGB)</w:t>
      </w:r>
      <w:r w:rsidRPr="00424BD7">
        <w:rPr>
          <w:rFonts w:asciiTheme="minorHAnsi" w:hAnsiTheme="minorHAnsi"/>
          <w:color w:val="000000" w:themeColor="text1"/>
        </w:rPr>
        <w:t xml:space="preserve"> </w:t>
      </w:r>
    </w:p>
    <w:p w:rsidR="00424BD7" w:rsidRPr="00035CEF" w:rsidRDefault="00424BD7">
      <w:pPr>
        <w:widowControl/>
        <w:autoSpaceDE/>
        <w:autoSpaceDN/>
        <w:adjustRightInd/>
        <w:spacing w:after="160" w:line="259" w:lineRule="auto"/>
        <w:rPr>
          <w:b/>
        </w:rPr>
      </w:pPr>
    </w:p>
    <w:p w:rsidR="00424BD7" w:rsidRPr="00035CEF" w:rsidRDefault="00424BD7" w:rsidP="00035CEF">
      <w:pPr>
        <w:widowControl/>
        <w:autoSpaceDE/>
        <w:autoSpaceDN/>
        <w:adjustRightInd/>
        <w:spacing w:after="160" w:line="276" w:lineRule="auto"/>
        <w:rPr>
          <w:b/>
          <w:sz w:val="23"/>
          <w:szCs w:val="23"/>
        </w:rPr>
      </w:pPr>
      <w:r w:rsidRPr="00035CEF">
        <w:rPr>
          <w:b/>
          <w:sz w:val="23"/>
          <w:szCs w:val="23"/>
        </w:rPr>
        <w:t>§ 257 Aufbewahrung von Unterlagen</w:t>
      </w:r>
    </w:p>
    <w:p w:rsidR="00424BD7" w:rsidRPr="00035CEF" w:rsidRDefault="00424BD7" w:rsidP="00035CEF">
      <w:pPr>
        <w:widowControl/>
        <w:autoSpaceDE/>
        <w:autoSpaceDN/>
        <w:adjustRightInd/>
        <w:spacing w:after="160" w:line="276" w:lineRule="auto"/>
        <w:rPr>
          <w:b/>
          <w:sz w:val="23"/>
          <w:szCs w:val="23"/>
        </w:rPr>
      </w:pPr>
      <w:r w:rsidRPr="00035CEF">
        <w:rPr>
          <w:b/>
          <w:sz w:val="23"/>
          <w:szCs w:val="23"/>
        </w:rPr>
        <w:t>Aufbewahrungsfristen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t>(1) Jeder Kaufmann ist verpflichtet, die folgenden Unterlagen geordnet aufzubewahren:</w:t>
      </w:r>
    </w:p>
    <w:p w:rsidR="00424BD7" w:rsidRPr="00035CEF" w:rsidRDefault="00424BD7" w:rsidP="00035CEF">
      <w:pPr>
        <w:widowControl/>
        <w:autoSpaceDE/>
        <w:autoSpaceDN/>
        <w:adjustRightInd/>
        <w:spacing w:after="160" w:line="276" w:lineRule="auto"/>
        <w:ind w:left="426" w:hanging="426"/>
        <w:rPr>
          <w:sz w:val="23"/>
          <w:szCs w:val="23"/>
        </w:rPr>
      </w:pPr>
      <w:r w:rsidRPr="00035CEF">
        <w:rPr>
          <w:sz w:val="23"/>
          <w:szCs w:val="23"/>
        </w:rPr>
        <w:t>1.    Handelsbücher, Inventare, Eröffnungsbilanzen, Jahresabschlüsse, Einzelabschlüsse nach § 325 Abs. 2a, Lageberichte, Konzernabschlüsse, Konzernlageberichte sowie die zu ihrem Verständnis erforderlichen Arbeitsanweisungen und sonstigen Organisationsunterlagen,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t>2.    die empfangenen Handelsbriefe,</w:t>
      </w:r>
    </w:p>
    <w:p w:rsidR="00424BD7" w:rsidRPr="00035CEF" w:rsidRDefault="00424BD7" w:rsidP="00035CEF">
      <w:pPr>
        <w:widowControl/>
        <w:autoSpaceDE/>
        <w:autoSpaceDN/>
        <w:adjustRightInd/>
        <w:spacing w:after="160" w:line="276" w:lineRule="auto"/>
        <w:rPr>
          <w:sz w:val="23"/>
          <w:szCs w:val="23"/>
        </w:rPr>
      </w:pPr>
      <w:r w:rsidRPr="00035CEF">
        <w:rPr>
          <w:sz w:val="23"/>
          <w:szCs w:val="23"/>
        </w:rPr>
        <w:t>3.    Wiedergaben der abgesandten Handelsbriefe,</w:t>
      </w:r>
    </w:p>
    <w:p w:rsidR="00424BD7" w:rsidRPr="00035CEF" w:rsidRDefault="00424BD7" w:rsidP="00035CEF">
      <w:pPr>
        <w:widowControl/>
        <w:autoSpaceDE/>
        <w:autoSpaceDN/>
        <w:adjustRightInd/>
        <w:spacing w:after="160" w:line="276" w:lineRule="auto"/>
        <w:ind w:left="426" w:hanging="426"/>
        <w:rPr>
          <w:sz w:val="23"/>
          <w:szCs w:val="23"/>
        </w:rPr>
      </w:pPr>
      <w:r w:rsidRPr="00035CEF">
        <w:rPr>
          <w:sz w:val="23"/>
          <w:szCs w:val="23"/>
        </w:rPr>
        <w:t>4.    Belege für Buchungen in den von ihm nach § 238 Abs. 1 zu führenden Büchern (Buchungsbelege).</w:t>
      </w:r>
    </w:p>
    <w:p w:rsidR="00424BD7" w:rsidRPr="00035CEF" w:rsidRDefault="00424BD7" w:rsidP="00035CEF">
      <w:pPr>
        <w:widowControl/>
        <w:autoSpaceDE/>
        <w:autoSpaceDN/>
        <w:adjustRightInd/>
        <w:spacing w:after="160" w:line="276" w:lineRule="auto"/>
        <w:rPr>
          <w:sz w:val="23"/>
          <w:szCs w:val="23"/>
        </w:rPr>
      </w:pPr>
      <w:r w:rsidRPr="00035CEF">
        <w:rPr>
          <w:sz w:val="23"/>
          <w:szCs w:val="23"/>
        </w:rPr>
        <w:t>(2) Handelsbriefe sind nur Schriftstücke, die ein Handelsgeschäft betreffen.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t>(3) Mit Ausnahme der Eröffnungsbilanzen und Abschlüsse können die in Absatz 1 aufgeführten Unterlagen auch als Wiedergabe auf einem Bildträger oder auf anderen Datenträgern aufbewahrt werden, wenn dies den Grundsätzen ordnungsmäßiger Buchführung entspricht und sichergestellt ist, dass die Wiedergabe oder die Daten</w:t>
      </w:r>
    </w:p>
    <w:p w:rsidR="00424BD7" w:rsidRPr="00035CEF" w:rsidRDefault="00424BD7" w:rsidP="00035CEF">
      <w:pPr>
        <w:widowControl/>
        <w:autoSpaceDE/>
        <w:autoSpaceDN/>
        <w:adjustRightInd/>
        <w:spacing w:after="160" w:line="276" w:lineRule="auto"/>
        <w:ind w:left="426" w:hanging="426"/>
        <w:rPr>
          <w:sz w:val="23"/>
          <w:szCs w:val="23"/>
        </w:rPr>
      </w:pPr>
      <w:r w:rsidRPr="00035CEF">
        <w:rPr>
          <w:sz w:val="23"/>
          <w:szCs w:val="23"/>
        </w:rPr>
        <w:t>1.    mit den empfangenen Handelsbriefen und den Buchungsbelegen bildlich und mit den anderen Unterlagen inhaltlich übereinstimmen, wenn sie lesbar gemacht werden,</w:t>
      </w:r>
    </w:p>
    <w:p w:rsidR="00424BD7" w:rsidRPr="00035CEF" w:rsidRDefault="00424BD7" w:rsidP="00035CEF">
      <w:pPr>
        <w:widowControl/>
        <w:autoSpaceDE/>
        <w:autoSpaceDN/>
        <w:adjustRightInd/>
        <w:spacing w:after="160" w:line="276" w:lineRule="auto"/>
        <w:ind w:left="426" w:hanging="426"/>
        <w:rPr>
          <w:sz w:val="23"/>
          <w:szCs w:val="23"/>
        </w:rPr>
      </w:pPr>
      <w:r w:rsidRPr="00035CEF">
        <w:rPr>
          <w:sz w:val="23"/>
          <w:szCs w:val="23"/>
        </w:rPr>
        <w:t>2.    während der Dauer der Aufbewahrungsfrist verfügbar sind und jederzeit innerhalb angemessener Frist lesbar gemacht werden können.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t>Sind Unterlagen auf Grund des § 239 Abs. 4 Satz 1 auf Datenträgern hergestellt worden, können statt des Datenträgers die Daten auch ausgedruckt aufbewahrt werden; die ausgedruckten Unterlagen können auch nach Satz 1 aufbewahrt werden.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t>(4) Die in Absatz 1 Nr. 1 und 4 aufgeführten Unterlagen sind zehn Jahre, die sonstigen in Absatz 1 aufgeführten Unterlagen sechs Jahre aufzubewahren.</w:t>
      </w:r>
    </w:p>
    <w:p w:rsidR="00424BD7" w:rsidRPr="00035CEF" w:rsidRDefault="00424BD7" w:rsidP="00035CEF">
      <w:pPr>
        <w:widowControl/>
        <w:autoSpaceDE/>
        <w:autoSpaceDN/>
        <w:adjustRightInd/>
        <w:spacing w:after="160" w:line="276" w:lineRule="auto"/>
        <w:rPr>
          <w:sz w:val="23"/>
          <w:szCs w:val="23"/>
        </w:rPr>
      </w:pPr>
      <w:r w:rsidRPr="00035CEF">
        <w:rPr>
          <w:sz w:val="23"/>
          <w:szCs w:val="23"/>
        </w:rPr>
        <w:lastRenderedPageBreak/>
        <w:t>(5) Die Aufbewahrungsfrist beginnt mit dem Schluss des Kalenderjahrs, in dem die letzte Eintragung in das Handelsbuch gemacht, das Inventar aufgestellt, die Eröffnungsbilanz oder der Jahresabschluss festgestellt, der Einzelabschluss nach § 325 Abs. 2a oder der Konzernabschluss aufgestellt, der Handelsbrief empfangen oder abgesandt worden oder der Buchungsbeleg entstanden ist.</w:t>
      </w:r>
    </w:p>
    <w:p w:rsidR="00424BD7" w:rsidRPr="00035CEF" w:rsidRDefault="00424BD7" w:rsidP="00424BD7">
      <w:pPr>
        <w:widowControl/>
        <w:autoSpaceDE/>
        <w:autoSpaceDN/>
        <w:adjustRightInd/>
        <w:spacing w:after="160" w:line="259" w:lineRule="auto"/>
        <w:rPr>
          <w:rFonts w:asciiTheme="minorHAnsi" w:hAnsiTheme="minorHAnsi" w:cstheme="minorHAnsi"/>
        </w:rPr>
      </w:pPr>
      <w:r w:rsidRPr="00577EFF">
        <w:rPr>
          <w:rFonts w:asciiTheme="minorHAnsi" w:hAnsiTheme="minorHAnsi" w:cstheme="minorHAnsi"/>
          <w:u w:val="single"/>
        </w:rPr>
        <w:t>Quelle</w:t>
      </w:r>
      <w:r w:rsidRPr="00035CEF">
        <w:rPr>
          <w:rFonts w:asciiTheme="minorHAnsi" w:hAnsiTheme="minorHAnsi" w:cstheme="minorHAnsi"/>
        </w:rPr>
        <w:t xml:space="preserve">: </w:t>
      </w:r>
      <w:r w:rsidRPr="00577EFF">
        <w:rPr>
          <w:rFonts w:asciiTheme="minorHAnsi" w:hAnsiTheme="minorHAnsi" w:cstheme="minorHAnsi"/>
        </w:rPr>
        <w:t>www.gesetze-im-internet.de/hgb/__257.html</w:t>
      </w:r>
      <w:r w:rsidRPr="00035CEF">
        <w:rPr>
          <w:rFonts w:asciiTheme="minorHAnsi" w:hAnsiTheme="minorHAnsi" w:cstheme="minorHAnsi"/>
        </w:rPr>
        <w:t xml:space="preserve"> (Zugriff am 30.05.2019)</w:t>
      </w:r>
    </w:p>
    <w:p w:rsidR="00A91F76" w:rsidRDefault="00A91F76" w:rsidP="0025640C">
      <w:pPr>
        <w:rPr>
          <w:rFonts w:asciiTheme="minorHAnsi" w:hAnsiTheme="minorHAnsi"/>
          <w:color w:val="000000" w:themeColor="text1"/>
          <w:u w:val="single"/>
        </w:rPr>
      </w:pPr>
    </w:p>
    <w:p w:rsidR="00A91F76" w:rsidRDefault="00A91F76" w:rsidP="0025640C">
      <w:pPr>
        <w:rPr>
          <w:rFonts w:asciiTheme="minorHAnsi" w:hAnsiTheme="minorHAnsi"/>
          <w:color w:val="000000" w:themeColor="text1"/>
          <w:u w:val="single"/>
        </w:rPr>
      </w:pPr>
    </w:p>
    <w:p w:rsidR="00A91F76" w:rsidRDefault="00A91F76" w:rsidP="0025640C">
      <w:pPr>
        <w:rPr>
          <w:rFonts w:asciiTheme="minorHAnsi" w:hAnsiTheme="minorHAnsi"/>
          <w:color w:val="000000" w:themeColor="text1"/>
          <w:u w:val="single"/>
        </w:rPr>
      </w:pPr>
    </w:p>
    <w:p w:rsidR="00424BD7" w:rsidRPr="00AA5A2E" w:rsidRDefault="0025640C" w:rsidP="0025640C">
      <w:pPr>
        <w:rPr>
          <w:rFonts w:asciiTheme="minorHAnsi" w:hAnsiTheme="minorHAnsi"/>
          <w:color w:val="000000" w:themeColor="text1"/>
        </w:rPr>
      </w:pPr>
      <w:r w:rsidRPr="00AA5A2E">
        <w:rPr>
          <w:rFonts w:asciiTheme="minorHAnsi" w:hAnsiTheme="minorHAnsi"/>
          <w:color w:val="000000" w:themeColor="text1"/>
          <w:u w:val="single"/>
        </w:rPr>
        <w:t xml:space="preserve">Anlage </w:t>
      </w:r>
      <w:r w:rsidR="00424BD7" w:rsidRPr="00AA5A2E">
        <w:rPr>
          <w:rFonts w:asciiTheme="minorHAnsi" w:hAnsiTheme="minorHAnsi"/>
          <w:color w:val="000000" w:themeColor="text1"/>
          <w:u w:val="single"/>
        </w:rPr>
        <w:t>3</w:t>
      </w:r>
      <w:r w:rsidRPr="00AA5A2E">
        <w:rPr>
          <w:rFonts w:asciiTheme="minorHAnsi" w:hAnsiTheme="minorHAnsi"/>
          <w:color w:val="000000" w:themeColor="text1"/>
        </w:rPr>
        <w:t xml:space="preserve">: </w:t>
      </w:r>
      <w:r w:rsidR="00424BD7" w:rsidRPr="00AA5A2E">
        <w:rPr>
          <w:rFonts w:asciiTheme="minorHAnsi" w:hAnsiTheme="minorHAnsi"/>
          <w:color w:val="000000" w:themeColor="text1"/>
        </w:rPr>
        <w:t xml:space="preserve">Auszug </w:t>
      </w:r>
      <w:r w:rsidR="00577EFF" w:rsidRPr="00AA5A2E">
        <w:rPr>
          <w:rFonts w:asciiTheme="minorHAnsi" w:hAnsiTheme="minorHAnsi"/>
          <w:color w:val="000000" w:themeColor="text1"/>
        </w:rPr>
        <w:t xml:space="preserve">aus der </w:t>
      </w:r>
      <w:r w:rsidR="00424BD7" w:rsidRPr="00AA5A2E">
        <w:rPr>
          <w:rFonts w:asciiTheme="minorHAnsi" w:hAnsiTheme="minorHAnsi"/>
          <w:color w:val="000000" w:themeColor="text1"/>
        </w:rPr>
        <w:t xml:space="preserve">Abgabenordnung (AO) </w:t>
      </w:r>
    </w:p>
    <w:p w:rsidR="00C1787D" w:rsidRPr="00424BD7" w:rsidRDefault="00C1787D" w:rsidP="00C1787D">
      <w:pPr>
        <w:rPr>
          <w:rFonts w:cs="Arial"/>
        </w:rPr>
      </w:pPr>
    </w:p>
    <w:p w:rsidR="00C1787D" w:rsidRPr="00C1787D" w:rsidRDefault="00C1787D" w:rsidP="00C1787D"/>
    <w:p w:rsidR="00424BD7" w:rsidRPr="00577EFF" w:rsidRDefault="00424BD7" w:rsidP="00577EFF">
      <w:pPr>
        <w:spacing w:line="276" w:lineRule="auto"/>
        <w:rPr>
          <w:b/>
          <w:sz w:val="23"/>
          <w:szCs w:val="23"/>
        </w:rPr>
      </w:pPr>
      <w:r w:rsidRPr="00577EFF">
        <w:rPr>
          <w:b/>
          <w:sz w:val="23"/>
          <w:szCs w:val="23"/>
        </w:rPr>
        <w:t>§ 147 Ordnungsvorschriften für die Aufbewahrung von Unterlagen</w:t>
      </w:r>
    </w:p>
    <w:p w:rsidR="00577EFF" w:rsidRPr="00577EFF" w:rsidRDefault="00577EFF" w:rsidP="00577EFF">
      <w:pPr>
        <w:spacing w:line="276" w:lineRule="auto"/>
        <w:rPr>
          <w:sz w:val="23"/>
          <w:szCs w:val="23"/>
        </w:rPr>
      </w:pPr>
    </w:p>
    <w:p w:rsidR="00424BD7" w:rsidRPr="00577EFF" w:rsidRDefault="00424BD7" w:rsidP="00577EFF">
      <w:pPr>
        <w:spacing w:after="160" w:line="276" w:lineRule="auto"/>
        <w:rPr>
          <w:sz w:val="23"/>
          <w:szCs w:val="23"/>
        </w:rPr>
      </w:pPr>
      <w:r w:rsidRPr="00577EFF">
        <w:rPr>
          <w:sz w:val="23"/>
          <w:szCs w:val="23"/>
        </w:rPr>
        <w:t xml:space="preserve">(1) Die folgenden Unterlagen sind geordnet aufzubewahren: </w:t>
      </w:r>
    </w:p>
    <w:p w:rsidR="00424BD7" w:rsidRPr="00577EFF" w:rsidRDefault="00424BD7" w:rsidP="00577EFF">
      <w:pPr>
        <w:spacing w:after="160" w:line="276" w:lineRule="auto"/>
        <w:ind w:left="426" w:hanging="426"/>
        <w:rPr>
          <w:sz w:val="23"/>
          <w:szCs w:val="23"/>
        </w:rPr>
      </w:pPr>
      <w:r w:rsidRPr="00577EFF">
        <w:rPr>
          <w:sz w:val="23"/>
          <w:szCs w:val="23"/>
        </w:rPr>
        <w:t xml:space="preserve">1. </w:t>
      </w:r>
      <w:r w:rsidR="00577EFF">
        <w:rPr>
          <w:sz w:val="23"/>
          <w:szCs w:val="23"/>
        </w:rPr>
        <w:tab/>
      </w:r>
      <w:r w:rsidRPr="00577EFF">
        <w:rPr>
          <w:sz w:val="23"/>
          <w:szCs w:val="23"/>
        </w:rPr>
        <w:t>Bücher und Aufzeichnungen, Inventare, Jahresabsc</w:t>
      </w:r>
      <w:r w:rsidR="00577EFF">
        <w:rPr>
          <w:sz w:val="23"/>
          <w:szCs w:val="23"/>
        </w:rPr>
        <w:t>hlüsse, Lageberichte, die Eröff</w:t>
      </w:r>
      <w:r w:rsidRPr="00577EFF">
        <w:rPr>
          <w:sz w:val="23"/>
          <w:szCs w:val="23"/>
        </w:rPr>
        <w:t>nungsbilanz sowie die zu ihrem Verständnis erforderlichen Arbeitsanweisungen und so</w:t>
      </w:r>
      <w:r w:rsidR="00577EFF">
        <w:rPr>
          <w:sz w:val="23"/>
          <w:szCs w:val="23"/>
        </w:rPr>
        <w:t>ns</w:t>
      </w:r>
      <w:r w:rsidRPr="00577EFF">
        <w:rPr>
          <w:sz w:val="23"/>
          <w:szCs w:val="23"/>
        </w:rPr>
        <w:t>tigen Organisationsunterlagen,</w:t>
      </w:r>
    </w:p>
    <w:p w:rsidR="00424BD7" w:rsidRPr="00577EFF" w:rsidRDefault="00424BD7" w:rsidP="00577EFF">
      <w:pPr>
        <w:spacing w:after="160" w:line="276" w:lineRule="auto"/>
        <w:ind w:left="426" w:hanging="426"/>
        <w:rPr>
          <w:sz w:val="23"/>
          <w:szCs w:val="23"/>
        </w:rPr>
      </w:pPr>
      <w:r w:rsidRPr="00577EFF">
        <w:rPr>
          <w:sz w:val="23"/>
          <w:szCs w:val="23"/>
        </w:rPr>
        <w:t xml:space="preserve">2. </w:t>
      </w:r>
      <w:r w:rsidR="00577EFF">
        <w:rPr>
          <w:sz w:val="23"/>
          <w:szCs w:val="23"/>
        </w:rPr>
        <w:tab/>
      </w:r>
      <w:r w:rsidRPr="00577EFF">
        <w:rPr>
          <w:sz w:val="23"/>
          <w:szCs w:val="23"/>
        </w:rPr>
        <w:t>die empfangenen Handels- oder Geschäftsbriefe,</w:t>
      </w:r>
    </w:p>
    <w:p w:rsidR="00424BD7" w:rsidRPr="00577EFF" w:rsidRDefault="00424BD7" w:rsidP="00577EFF">
      <w:pPr>
        <w:spacing w:after="160" w:line="276" w:lineRule="auto"/>
        <w:ind w:left="426" w:hanging="426"/>
        <w:rPr>
          <w:sz w:val="23"/>
          <w:szCs w:val="23"/>
        </w:rPr>
      </w:pPr>
      <w:r w:rsidRPr="00577EFF">
        <w:rPr>
          <w:sz w:val="23"/>
          <w:szCs w:val="23"/>
        </w:rPr>
        <w:t xml:space="preserve">3. </w:t>
      </w:r>
      <w:r w:rsidR="00577EFF">
        <w:rPr>
          <w:sz w:val="23"/>
          <w:szCs w:val="23"/>
        </w:rPr>
        <w:tab/>
      </w:r>
      <w:r w:rsidRPr="00577EFF">
        <w:rPr>
          <w:sz w:val="23"/>
          <w:szCs w:val="23"/>
        </w:rPr>
        <w:t>Wiedergaben der abgesandten Handels- oder Geschäftsbriefe,</w:t>
      </w:r>
    </w:p>
    <w:p w:rsidR="00424BD7" w:rsidRPr="00577EFF" w:rsidRDefault="00424BD7" w:rsidP="00577EFF">
      <w:pPr>
        <w:spacing w:after="160" w:line="276" w:lineRule="auto"/>
        <w:ind w:left="426" w:hanging="426"/>
        <w:rPr>
          <w:sz w:val="23"/>
          <w:szCs w:val="23"/>
        </w:rPr>
      </w:pPr>
      <w:r w:rsidRPr="00577EFF">
        <w:rPr>
          <w:sz w:val="23"/>
          <w:szCs w:val="23"/>
        </w:rPr>
        <w:t xml:space="preserve">4. </w:t>
      </w:r>
      <w:r w:rsidR="00577EFF">
        <w:rPr>
          <w:sz w:val="23"/>
          <w:szCs w:val="23"/>
        </w:rPr>
        <w:tab/>
      </w:r>
      <w:r w:rsidRPr="00577EFF">
        <w:rPr>
          <w:sz w:val="23"/>
          <w:szCs w:val="23"/>
        </w:rPr>
        <w:t>Buchungsbelege,</w:t>
      </w:r>
    </w:p>
    <w:p w:rsidR="00424BD7" w:rsidRPr="00577EFF" w:rsidRDefault="00424BD7" w:rsidP="00577EFF">
      <w:pPr>
        <w:spacing w:after="160" w:line="276" w:lineRule="auto"/>
        <w:ind w:left="426" w:hanging="426"/>
        <w:rPr>
          <w:sz w:val="23"/>
          <w:szCs w:val="23"/>
        </w:rPr>
      </w:pPr>
      <w:r w:rsidRPr="00577EFF">
        <w:rPr>
          <w:sz w:val="23"/>
          <w:szCs w:val="23"/>
        </w:rPr>
        <w:t>4a.</w:t>
      </w:r>
      <w:r w:rsidR="00577EFF">
        <w:rPr>
          <w:sz w:val="23"/>
          <w:szCs w:val="23"/>
        </w:rPr>
        <w:tab/>
      </w:r>
      <w:r w:rsidRPr="00577EFF">
        <w:rPr>
          <w:sz w:val="23"/>
          <w:szCs w:val="23"/>
        </w:rPr>
        <w:t>Unterlagen nach Artikel 15 Absatz 1 und Artikel 163 des Zollkodex der Union,</w:t>
      </w:r>
    </w:p>
    <w:p w:rsidR="00424BD7" w:rsidRPr="00577EFF" w:rsidRDefault="00424BD7" w:rsidP="00577EFF">
      <w:pPr>
        <w:spacing w:after="160" w:line="276" w:lineRule="auto"/>
        <w:ind w:left="426" w:hanging="426"/>
        <w:rPr>
          <w:sz w:val="23"/>
          <w:szCs w:val="23"/>
        </w:rPr>
      </w:pPr>
      <w:r w:rsidRPr="00577EFF">
        <w:rPr>
          <w:sz w:val="23"/>
          <w:szCs w:val="23"/>
        </w:rPr>
        <w:t xml:space="preserve">5. </w:t>
      </w:r>
      <w:r w:rsidR="00577EFF">
        <w:rPr>
          <w:sz w:val="23"/>
          <w:szCs w:val="23"/>
        </w:rPr>
        <w:tab/>
      </w:r>
      <w:r w:rsidRPr="00577EFF">
        <w:rPr>
          <w:sz w:val="23"/>
          <w:szCs w:val="23"/>
        </w:rPr>
        <w:t>sonstige Unterlagen, soweit sie für die Besteuerung von Bedeutung sind.</w:t>
      </w:r>
    </w:p>
    <w:p w:rsidR="00424BD7" w:rsidRPr="00577EFF" w:rsidRDefault="00424BD7" w:rsidP="00577EFF">
      <w:pPr>
        <w:spacing w:after="160" w:line="276" w:lineRule="auto"/>
        <w:rPr>
          <w:sz w:val="23"/>
          <w:szCs w:val="23"/>
        </w:rPr>
      </w:pPr>
      <w:r w:rsidRPr="00577EFF">
        <w:rPr>
          <w:sz w:val="23"/>
          <w:szCs w:val="23"/>
        </w:rPr>
        <w:t xml:space="preserve">(2) Mit Ausnahme der Jahresabschlüsse, der Eröffnungsbilanz und der Unterlagen nach Absatz 1 Nummer 4a, sofern es sich bei letztgenannten Unterlagen um amtliche Urkunden oder handschriftlich zu unterschreibende nicht förmliche Präferenznachweise handelt, können die in Absatz 1 aufgeführten Unterlagen auch als Wiedergabe auf einem Bildträger oder auf anderen Datenträgern aufbewahrt werden, wenn dies den Grundsätzen ordnungsmäßiger Buchführung entspricht und sichergestellt ist, dass die Wiedergabe oder die Daten </w:t>
      </w:r>
    </w:p>
    <w:p w:rsidR="00424BD7" w:rsidRPr="00577EFF" w:rsidRDefault="00424BD7" w:rsidP="00577EFF">
      <w:pPr>
        <w:spacing w:after="160" w:line="276" w:lineRule="auto"/>
        <w:ind w:left="426" w:hanging="426"/>
        <w:rPr>
          <w:sz w:val="23"/>
          <w:szCs w:val="23"/>
        </w:rPr>
      </w:pPr>
      <w:r w:rsidRPr="00577EFF">
        <w:rPr>
          <w:sz w:val="23"/>
          <w:szCs w:val="23"/>
        </w:rPr>
        <w:t xml:space="preserve">1. </w:t>
      </w:r>
      <w:r w:rsidR="00577EFF">
        <w:rPr>
          <w:sz w:val="23"/>
          <w:szCs w:val="23"/>
        </w:rPr>
        <w:tab/>
      </w:r>
      <w:r w:rsidRPr="00577EFF">
        <w:rPr>
          <w:sz w:val="23"/>
          <w:szCs w:val="23"/>
        </w:rPr>
        <w:t>mit den empfangenen Handels- oder Geschäftsbriefen und den Buchungsbelegen bildlich und mit den anderen Unterlagen inhaltlich übereinstimmen, wenn sie lesbar gemacht werden,</w:t>
      </w:r>
    </w:p>
    <w:p w:rsidR="00424BD7" w:rsidRPr="00577EFF" w:rsidRDefault="00424BD7" w:rsidP="00577EFF">
      <w:pPr>
        <w:spacing w:after="160" w:line="276" w:lineRule="auto"/>
        <w:ind w:left="426" w:hanging="426"/>
        <w:rPr>
          <w:sz w:val="23"/>
          <w:szCs w:val="23"/>
        </w:rPr>
      </w:pPr>
      <w:r w:rsidRPr="00577EFF">
        <w:rPr>
          <w:sz w:val="23"/>
          <w:szCs w:val="23"/>
        </w:rPr>
        <w:t xml:space="preserve">2. </w:t>
      </w:r>
      <w:r w:rsidR="00577EFF">
        <w:rPr>
          <w:sz w:val="23"/>
          <w:szCs w:val="23"/>
        </w:rPr>
        <w:tab/>
      </w:r>
      <w:r w:rsidRPr="00577EFF">
        <w:rPr>
          <w:sz w:val="23"/>
          <w:szCs w:val="23"/>
        </w:rPr>
        <w:t>während der Dauer der Aufbewahrungsfrist jederzeit verfügbar sind, unverzüglich lesbar gemacht und maschinell ausgewertet werden können.</w:t>
      </w:r>
    </w:p>
    <w:p w:rsidR="00424BD7" w:rsidRPr="00577EFF" w:rsidRDefault="00424BD7" w:rsidP="00577EFF">
      <w:pPr>
        <w:spacing w:after="160" w:line="276" w:lineRule="auto"/>
        <w:rPr>
          <w:sz w:val="23"/>
          <w:szCs w:val="23"/>
        </w:rPr>
      </w:pPr>
      <w:r w:rsidRPr="00577EFF">
        <w:rPr>
          <w:sz w:val="23"/>
          <w:szCs w:val="23"/>
        </w:rPr>
        <w:t xml:space="preserve">(3) Die in Absatz 1 Nr. 1, 4 und 4a aufgeführten Unterlagen sind zehn Jahre, die sonstigen in Absatz 1 aufgeführten Unterlagen sechs Jahre aufzubewahren, sofern nicht in anderen Steuergesetzen kürzere Aufbewahrungsfristen zugelassen sind. Kürzere Aufbewahrungs-fristen nach außersteuerlichen Gesetzen lassen die in Satz 1 bestimmte Frist unberührt. Bei empfangenen Lieferscheinen, die keine Buchungsbelege nach Absatz 1 Nummer 4 sind, endet die Aufbewahrungsfrist mit dem Erhalt der </w:t>
      </w:r>
      <w:r w:rsidR="00577EFF">
        <w:rPr>
          <w:sz w:val="23"/>
          <w:szCs w:val="23"/>
        </w:rPr>
        <w:t>Rechnung. Für abgesandte Liefer</w:t>
      </w:r>
      <w:r w:rsidRPr="00577EFF">
        <w:rPr>
          <w:sz w:val="23"/>
          <w:szCs w:val="23"/>
        </w:rPr>
        <w:t>scheine, die keine Buchungsbelege nach Absatz 1 Nummer 4 sind, endet die Aufbewahrungsfrist mit dem Versand der Rechnung. Die Aufbewahrungsfrist läuft jedoch nicht ab, soweit und solange die Un</w:t>
      </w:r>
      <w:r w:rsidRPr="00577EFF">
        <w:rPr>
          <w:sz w:val="23"/>
          <w:szCs w:val="23"/>
        </w:rPr>
        <w:lastRenderedPageBreak/>
        <w:t>terlagen für Steuern von Bede</w:t>
      </w:r>
      <w:r w:rsidR="00577EFF">
        <w:rPr>
          <w:sz w:val="23"/>
          <w:szCs w:val="23"/>
        </w:rPr>
        <w:t>utung sind, für welche die Fest</w:t>
      </w:r>
      <w:r w:rsidRPr="00577EFF">
        <w:rPr>
          <w:sz w:val="23"/>
          <w:szCs w:val="23"/>
        </w:rPr>
        <w:t>setzungsfrist noch nicht abgelaufen ist; § 169 Abs. 2 Satz 2 gilt nicht.</w:t>
      </w:r>
    </w:p>
    <w:p w:rsidR="00424BD7" w:rsidRPr="00577EFF" w:rsidRDefault="00424BD7" w:rsidP="00577EFF">
      <w:pPr>
        <w:spacing w:after="160" w:line="276" w:lineRule="auto"/>
        <w:rPr>
          <w:sz w:val="23"/>
          <w:szCs w:val="23"/>
        </w:rPr>
      </w:pPr>
      <w:r w:rsidRPr="00577EFF">
        <w:rPr>
          <w:sz w:val="23"/>
          <w:szCs w:val="23"/>
        </w:rPr>
        <w:t>(4) Die Aufbewahrungsfrist beginnt mit dem Schluss des Kalenderjahrs, in dem die letzte Eintragung in das Buch gemacht, das Inventar, die Eröffnungsbilanz, der Jahresabschluss oder der Lagebericht aufgestellt, der Handels- oder Ges</w:t>
      </w:r>
      <w:r w:rsidR="00577EFF">
        <w:rPr>
          <w:sz w:val="23"/>
          <w:szCs w:val="23"/>
        </w:rPr>
        <w:t>chäftsbrief empfangen oder abge</w:t>
      </w:r>
      <w:r w:rsidRPr="00577EFF">
        <w:rPr>
          <w:sz w:val="23"/>
          <w:szCs w:val="23"/>
        </w:rPr>
        <w:t>sandt worden oder der Buchungsbeleg entstanden ist</w:t>
      </w:r>
      <w:r w:rsidR="00577EFF">
        <w:rPr>
          <w:sz w:val="23"/>
          <w:szCs w:val="23"/>
        </w:rPr>
        <w:t>, ferner die Aufzeichnung vorge</w:t>
      </w:r>
      <w:r w:rsidRPr="00577EFF">
        <w:rPr>
          <w:sz w:val="23"/>
          <w:szCs w:val="23"/>
        </w:rPr>
        <w:t>nommen worden ist oder die sonstigen Unterlagen entstanden sind.</w:t>
      </w:r>
    </w:p>
    <w:p w:rsidR="00424BD7" w:rsidRPr="00577EFF" w:rsidRDefault="00424BD7" w:rsidP="00577EFF">
      <w:pPr>
        <w:spacing w:after="160" w:line="276" w:lineRule="auto"/>
        <w:rPr>
          <w:sz w:val="23"/>
          <w:szCs w:val="23"/>
        </w:rPr>
      </w:pPr>
      <w:r w:rsidRPr="00577EFF">
        <w:rPr>
          <w:sz w:val="23"/>
          <w:szCs w:val="23"/>
        </w:rPr>
        <w:t>(5) Wer aufzubewahrende Unterlagen in der Form einer Wiedergabe auf einem Bildträger oder auf anderen Datenträgern vorlegt, ist verpflichtet, auf seine Kosten diejenigen Hilfsmittel zur Verfügung zu stellen, die erforderlich sind, um die Unterlagen lesbar zu machen; auf Verlangen der Finanzbehörde hat er auf seine Kosten die Unterlagen unverzüglich ganz oder teilweise auszudrucken oder ohne Hilfsmittel l</w:t>
      </w:r>
      <w:r w:rsidR="00577EFF">
        <w:rPr>
          <w:sz w:val="23"/>
          <w:szCs w:val="23"/>
        </w:rPr>
        <w:t>esbare Reproduktionen beizubrin</w:t>
      </w:r>
      <w:r w:rsidRPr="00577EFF">
        <w:rPr>
          <w:sz w:val="23"/>
          <w:szCs w:val="23"/>
        </w:rPr>
        <w:t>gen.</w:t>
      </w:r>
    </w:p>
    <w:p w:rsidR="00424BD7" w:rsidRPr="00577EFF" w:rsidRDefault="00424BD7" w:rsidP="00577EFF">
      <w:pPr>
        <w:spacing w:after="160" w:line="276" w:lineRule="auto"/>
        <w:rPr>
          <w:sz w:val="23"/>
          <w:szCs w:val="23"/>
        </w:rPr>
      </w:pPr>
      <w:r w:rsidRPr="00577EFF">
        <w:rPr>
          <w:sz w:val="23"/>
          <w:szCs w:val="23"/>
        </w:rPr>
        <w:t xml:space="preserve">(6) Sind die Unterlagen nach Absatz 1 mit Hilfe eines Datenverarbeitungssystems erstellt worden, hat die Finanzbehörde im Rahmen einer Außenprüfung das Recht, Einsicht in die gespeicherten Daten zu nehmen und das Datenverarbeitungssystem zur Prüfung dieser Unterlagen zu nutzen. Sie kann im Rahmen einer Außenprüfung auch verlangen, dass die Daten nach ihren Vorgaben maschinell ausgewertet oder ihr die gespeicherten Unterlagen und Aufzeichnungen auf einem maschinell verwertbaren Datenträger zur Verfügung gestellt werden. Teilt der Steuerpflichtige der Finanzbehörde mit, dass sich seine Daten nach Absatz 1 bei einem Dritten befinden, so hat der Dritte </w:t>
      </w:r>
    </w:p>
    <w:p w:rsidR="00424BD7" w:rsidRPr="00577EFF" w:rsidRDefault="00424BD7" w:rsidP="00577EFF">
      <w:pPr>
        <w:spacing w:after="160" w:line="276" w:lineRule="auto"/>
        <w:ind w:left="426" w:hanging="426"/>
        <w:rPr>
          <w:sz w:val="23"/>
          <w:szCs w:val="23"/>
        </w:rPr>
      </w:pPr>
      <w:r w:rsidRPr="00577EFF">
        <w:rPr>
          <w:sz w:val="23"/>
          <w:szCs w:val="23"/>
        </w:rPr>
        <w:t xml:space="preserve">1. </w:t>
      </w:r>
      <w:r w:rsidR="00577EFF">
        <w:rPr>
          <w:sz w:val="23"/>
          <w:szCs w:val="23"/>
        </w:rPr>
        <w:tab/>
      </w:r>
      <w:r w:rsidRPr="00577EFF">
        <w:rPr>
          <w:sz w:val="23"/>
          <w:szCs w:val="23"/>
        </w:rPr>
        <w:t>der Finanzbehörde Einsicht in die für den Steuerpflichtigen gespeicherten Daten zu gewähren oder</w:t>
      </w:r>
    </w:p>
    <w:p w:rsidR="00424BD7" w:rsidRPr="00577EFF" w:rsidRDefault="00424BD7" w:rsidP="00577EFF">
      <w:pPr>
        <w:spacing w:after="160" w:line="276" w:lineRule="auto"/>
        <w:ind w:left="426" w:hanging="426"/>
        <w:rPr>
          <w:sz w:val="23"/>
          <w:szCs w:val="23"/>
        </w:rPr>
      </w:pPr>
      <w:r w:rsidRPr="00577EFF">
        <w:rPr>
          <w:sz w:val="23"/>
          <w:szCs w:val="23"/>
        </w:rPr>
        <w:t xml:space="preserve">2. </w:t>
      </w:r>
      <w:r w:rsidR="00577EFF">
        <w:rPr>
          <w:sz w:val="23"/>
          <w:szCs w:val="23"/>
        </w:rPr>
        <w:tab/>
      </w:r>
      <w:r w:rsidRPr="00577EFF">
        <w:rPr>
          <w:sz w:val="23"/>
          <w:szCs w:val="23"/>
        </w:rPr>
        <w:t>diese Daten nach den Vorgaben der Finanzbehörde maschinell auszuwerten oder</w:t>
      </w:r>
    </w:p>
    <w:p w:rsidR="00424BD7" w:rsidRPr="00577EFF" w:rsidRDefault="00424BD7" w:rsidP="00577EFF">
      <w:pPr>
        <w:spacing w:after="160" w:line="276" w:lineRule="auto"/>
        <w:ind w:left="426" w:hanging="426"/>
        <w:rPr>
          <w:sz w:val="23"/>
          <w:szCs w:val="23"/>
        </w:rPr>
      </w:pPr>
      <w:r w:rsidRPr="00577EFF">
        <w:rPr>
          <w:sz w:val="23"/>
          <w:szCs w:val="23"/>
        </w:rPr>
        <w:t xml:space="preserve">3. </w:t>
      </w:r>
      <w:r w:rsidR="00577EFF">
        <w:rPr>
          <w:sz w:val="23"/>
          <w:szCs w:val="23"/>
        </w:rPr>
        <w:tab/>
      </w:r>
      <w:r w:rsidRPr="00577EFF">
        <w:rPr>
          <w:sz w:val="23"/>
          <w:szCs w:val="23"/>
        </w:rPr>
        <w:t>ihr die für den Steuerpflichtigen gespeicherten Unterlagen und Aufzeichnungen auf einem maschinell verwertbaren Datenträger zur Verfügung zu stellen.</w:t>
      </w:r>
    </w:p>
    <w:p w:rsidR="00C1787D" w:rsidRDefault="00424BD7" w:rsidP="00577EFF">
      <w:pPr>
        <w:spacing w:after="160" w:line="276" w:lineRule="auto"/>
        <w:rPr>
          <w:sz w:val="23"/>
          <w:szCs w:val="23"/>
        </w:rPr>
      </w:pPr>
      <w:r w:rsidRPr="00577EFF">
        <w:rPr>
          <w:sz w:val="23"/>
          <w:szCs w:val="23"/>
        </w:rPr>
        <w:t>Die Kosten trägt der Steuerpflichtige. In Fällen des Satzes 3 hat der mit der Außenprüfung betraute Amtsträger den in § 3 und § 4 Nummer 1 und 2 des Steuerberatungsgesetzes bezeichneten Personen sein Erscheinen in angemessener Frist anzukündigen.</w:t>
      </w:r>
    </w:p>
    <w:p w:rsidR="00F4696E" w:rsidRPr="00F4696E" w:rsidRDefault="00F4696E" w:rsidP="00577EFF">
      <w:pPr>
        <w:spacing w:after="160" w:line="276" w:lineRule="auto"/>
        <w:rPr>
          <w:sz w:val="6"/>
          <w:szCs w:val="6"/>
        </w:rPr>
      </w:pPr>
    </w:p>
    <w:p w:rsidR="00C1787D" w:rsidRPr="00577EFF" w:rsidRDefault="00424BD7" w:rsidP="00577EFF">
      <w:pPr>
        <w:spacing w:line="276" w:lineRule="auto"/>
        <w:rPr>
          <w:rFonts w:asciiTheme="minorHAnsi" w:hAnsiTheme="minorHAnsi" w:cstheme="minorHAnsi"/>
        </w:rPr>
      </w:pPr>
      <w:r w:rsidRPr="00577EFF">
        <w:rPr>
          <w:rFonts w:asciiTheme="minorHAnsi" w:hAnsiTheme="minorHAnsi" w:cstheme="minorHAnsi"/>
          <w:u w:val="single"/>
        </w:rPr>
        <w:t>Quelle</w:t>
      </w:r>
      <w:r w:rsidRPr="00577EFF">
        <w:rPr>
          <w:rFonts w:asciiTheme="minorHAnsi" w:hAnsiTheme="minorHAnsi" w:cstheme="minorHAnsi"/>
        </w:rPr>
        <w:t xml:space="preserve">: </w:t>
      </w:r>
      <w:r w:rsidR="00DC4D4F" w:rsidRPr="00DC4D4F">
        <w:rPr>
          <w:rFonts w:asciiTheme="minorHAnsi" w:hAnsiTheme="minorHAnsi" w:cstheme="minorHAnsi"/>
        </w:rPr>
        <w:t>www.</w:t>
      </w:r>
      <w:bookmarkStart w:id="0" w:name="_GoBack"/>
      <w:bookmarkEnd w:id="0"/>
      <w:r w:rsidR="00DC4D4F" w:rsidRPr="00DC4D4F">
        <w:rPr>
          <w:rFonts w:asciiTheme="minorHAnsi" w:hAnsiTheme="minorHAnsi" w:cstheme="minorHAnsi"/>
        </w:rPr>
        <w:t>gesetze-im-internet.de/ao_1977/__147.html</w:t>
      </w:r>
      <w:r w:rsidR="00577EFF">
        <w:rPr>
          <w:rFonts w:asciiTheme="minorHAnsi" w:hAnsiTheme="minorHAnsi" w:cstheme="minorHAnsi"/>
        </w:rPr>
        <w:t xml:space="preserve"> </w:t>
      </w:r>
      <w:r w:rsidR="00A07C56">
        <w:rPr>
          <w:rFonts w:asciiTheme="minorHAnsi" w:hAnsiTheme="minorHAnsi" w:cstheme="minorHAnsi"/>
        </w:rPr>
        <w:t>(Zugriff am 30.05.2019)</w:t>
      </w:r>
    </w:p>
    <w:p w:rsidR="00A91F76" w:rsidRDefault="00A91F76" w:rsidP="00577EFF">
      <w:pPr>
        <w:tabs>
          <w:tab w:val="left" w:pos="8868"/>
        </w:tabs>
        <w:spacing w:line="276" w:lineRule="auto"/>
        <w:rPr>
          <w:sz w:val="23"/>
          <w:szCs w:val="23"/>
        </w:rPr>
      </w:pPr>
    </w:p>
    <w:p w:rsidR="00A726E8" w:rsidRDefault="00A726E8" w:rsidP="00577EFF">
      <w:pPr>
        <w:tabs>
          <w:tab w:val="left" w:pos="8868"/>
        </w:tabs>
        <w:spacing w:line="276" w:lineRule="auto"/>
        <w:rPr>
          <w:sz w:val="23"/>
          <w:szCs w:val="23"/>
        </w:rPr>
      </w:pPr>
    </w:p>
    <w:p w:rsidR="00AA5A2E" w:rsidRDefault="00AA5A2E">
      <w:pPr>
        <w:widowControl/>
        <w:autoSpaceDE/>
        <w:autoSpaceDN/>
        <w:adjustRightInd/>
        <w:spacing w:after="160" w:line="259" w:lineRule="auto"/>
        <w:rPr>
          <w:rFonts w:asciiTheme="minorHAnsi" w:hAnsiTheme="minorHAnsi"/>
          <w:color w:val="000000" w:themeColor="text1"/>
          <w:u w:val="single"/>
        </w:rPr>
      </w:pPr>
      <w:r>
        <w:rPr>
          <w:rFonts w:asciiTheme="minorHAnsi" w:hAnsiTheme="minorHAnsi"/>
          <w:color w:val="000000" w:themeColor="text1"/>
          <w:u w:val="single"/>
        </w:rPr>
        <w:br w:type="page"/>
      </w:r>
    </w:p>
    <w:p w:rsidR="00A726E8" w:rsidRPr="00A726E8" w:rsidRDefault="00A726E8" w:rsidP="00A726E8">
      <w:pPr>
        <w:rPr>
          <w:rFonts w:asciiTheme="minorHAnsi" w:hAnsiTheme="minorHAnsi"/>
          <w:color w:val="000000" w:themeColor="text1"/>
        </w:rPr>
      </w:pPr>
      <w:r w:rsidRPr="00A726E8">
        <w:rPr>
          <w:rFonts w:asciiTheme="minorHAnsi" w:hAnsiTheme="minorHAnsi"/>
          <w:color w:val="000000" w:themeColor="text1"/>
          <w:u w:val="single"/>
        </w:rPr>
        <w:lastRenderedPageBreak/>
        <w:t>Anlage 4</w:t>
      </w:r>
      <w:r w:rsidRPr="00A726E8">
        <w:rPr>
          <w:rFonts w:asciiTheme="minorHAnsi" w:hAnsiTheme="minorHAnsi"/>
          <w:color w:val="000000" w:themeColor="text1"/>
        </w:rPr>
        <w:t>: A</w:t>
      </w:r>
      <w:r>
        <w:rPr>
          <w:rFonts w:asciiTheme="minorHAnsi" w:hAnsiTheme="minorHAnsi"/>
          <w:color w:val="000000" w:themeColor="text1"/>
        </w:rPr>
        <w:t>uflistung a</w:t>
      </w:r>
      <w:r w:rsidRPr="00A726E8">
        <w:rPr>
          <w:rFonts w:asciiTheme="minorHAnsi" w:hAnsiTheme="minorHAnsi"/>
          <w:color w:val="000000" w:themeColor="text1"/>
        </w:rPr>
        <w:t>usgewählte</w:t>
      </w:r>
      <w:r>
        <w:rPr>
          <w:rFonts w:asciiTheme="minorHAnsi" w:hAnsiTheme="minorHAnsi"/>
          <w:color w:val="000000" w:themeColor="text1"/>
        </w:rPr>
        <w:t>r</w:t>
      </w:r>
      <w:r w:rsidRPr="00A726E8">
        <w:rPr>
          <w:rFonts w:asciiTheme="minorHAnsi" w:hAnsiTheme="minorHAnsi"/>
          <w:color w:val="000000" w:themeColor="text1"/>
        </w:rPr>
        <w:t xml:space="preserve"> Dokumente</w:t>
      </w:r>
    </w:p>
    <w:p w:rsidR="00A726E8" w:rsidRDefault="00A726E8" w:rsidP="00577EFF">
      <w:pPr>
        <w:tabs>
          <w:tab w:val="left" w:pos="8868"/>
        </w:tabs>
        <w:spacing w:line="276" w:lineRule="auto"/>
        <w:rPr>
          <w:sz w:val="23"/>
          <w:szCs w:val="23"/>
        </w:rPr>
      </w:pPr>
    </w:p>
    <w:tbl>
      <w:tblPr>
        <w:tblStyle w:val="Tabellenraster2"/>
        <w:tblW w:w="98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418"/>
        <w:gridCol w:w="1417"/>
        <w:gridCol w:w="1276"/>
        <w:gridCol w:w="1134"/>
        <w:gridCol w:w="1105"/>
      </w:tblGrid>
      <w:tr w:rsidR="00DC4D4F" w:rsidRPr="00DC4D4F" w:rsidTr="00F4696E">
        <w:tc>
          <w:tcPr>
            <w:tcW w:w="3539" w:type="dxa"/>
            <w:vMerge w:val="restart"/>
            <w:shd w:val="clear" w:color="auto" w:fill="EDEDED" w:themeFill="accent3" w:themeFillTint="33"/>
            <w:vAlign w:val="center"/>
          </w:tcPr>
          <w:p w:rsidR="00DC4D4F" w:rsidRPr="00DC4D4F" w:rsidRDefault="00E354A7" w:rsidP="00DC4D4F">
            <w:pPr>
              <w:widowControl/>
              <w:autoSpaceDE/>
              <w:autoSpaceDN/>
              <w:adjustRightInd/>
              <w:jc w:val="center"/>
              <w:rPr>
                <w:rFonts w:eastAsia="Calibri" w:cs="Arial"/>
                <w:b/>
                <w:sz w:val="22"/>
                <w:szCs w:val="22"/>
              </w:rPr>
            </w:pPr>
            <w:r>
              <w:rPr>
                <w:rFonts w:eastAsia="Calibri" w:cs="Arial"/>
                <w:b/>
                <w:sz w:val="22"/>
                <w:szCs w:val="22"/>
              </w:rPr>
              <w:t>Dokument</w:t>
            </w:r>
          </w:p>
        </w:tc>
        <w:tc>
          <w:tcPr>
            <w:tcW w:w="1418" w:type="dxa"/>
            <w:vMerge w:val="restart"/>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nicht auf-bewahrungs-pflichtig</w:t>
            </w:r>
          </w:p>
        </w:tc>
        <w:tc>
          <w:tcPr>
            <w:tcW w:w="2693" w:type="dxa"/>
            <w:gridSpan w:val="2"/>
            <w:shd w:val="clear" w:color="auto" w:fill="EDEDED" w:themeFill="accent3" w:themeFillTint="33"/>
            <w:vAlign w:val="center"/>
          </w:tcPr>
          <w:p w:rsidR="0042621C" w:rsidRDefault="0042621C" w:rsidP="00DC4D4F">
            <w:pPr>
              <w:widowControl/>
              <w:autoSpaceDE/>
              <w:autoSpaceDN/>
              <w:adjustRightInd/>
              <w:jc w:val="center"/>
              <w:rPr>
                <w:rFonts w:eastAsia="Calibri" w:cs="Arial"/>
                <w:b/>
                <w:sz w:val="22"/>
                <w:szCs w:val="22"/>
              </w:rPr>
            </w:pPr>
            <w:r w:rsidRPr="00DC4D4F">
              <w:rPr>
                <w:rFonts w:eastAsia="Calibri" w:cs="Arial"/>
                <w:b/>
                <w:sz w:val="22"/>
                <w:szCs w:val="22"/>
              </w:rPr>
              <w:t>A</w:t>
            </w:r>
            <w:r w:rsidR="00DC4D4F" w:rsidRPr="00DC4D4F">
              <w:rPr>
                <w:rFonts w:eastAsia="Calibri" w:cs="Arial"/>
                <w:b/>
                <w:sz w:val="22"/>
                <w:szCs w:val="22"/>
              </w:rPr>
              <w:t>ufbewahrungs</w:t>
            </w:r>
            <w:r>
              <w:rPr>
                <w:rFonts w:eastAsia="Calibri" w:cs="Arial"/>
                <w:b/>
                <w:sz w:val="22"/>
                <w:szCs w:val="22"/>
              </w:rPr>
              <w:t>-</w:t>
            </w:r>
          </w:p>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pflichtig</w:t>
            </w:r>
          </w:p>
        </w:tc>
        <w:tc>
          <w:tcPr>
            <w:tcW w:w="2239" w:type="dxa"/>
            <w:gridSpan w:val="2"/>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vernichten</w:t>
            </w:r>
          </w:p>
        </w:tc>
      </w:tr>
      <w:tr w:rsidR="00DC4D4F" w:rsidRPr="00DC4D4F" w:rsidTr="00F4696E">
        <w:tc>
          <w:tcPr>
            <w:tcW w:w="3539" w:type="dxa"/>
            <w:vMerge/>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p>
        </w:tc>
        <w:tc>
          <w:tcPr>
            <w:tcW w:w="1418" w:type="dxa"/>
            <w:vMerge/>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p>
        </w:tc>
        <w:tc>
          <w:tcPr>
            <w:tcW w:w="1417" w:type="dxa"/>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10 Jahre</w:t>
            </w:r>
          </w:p>
        </w:tc>
        <w:tc>
          <w:tcPr>
            <w:tcW w:w="1276" w:type="dxa"/>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6 Jahre</w:t>
            </w:r>
          </w:p>
        </w:tc>
        <w:tc>
          <w:tcPr>
            <w:tcW w:w="1134" w:type="dxa"/>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ja</w:t>
            </w:r>
          </w:p>
        </w:tc>
        <w:tc>
          <w:tcPr>
            <w:tcW w:w="1105" w:type="dxa"/>
            <w:shd w:val="clear" w:color="auto" w:fill="EDEDED" w:themeFill="accent3" w:themeFillTint="33"/>
            <w:vAlign w:val="center"/>
          </w:tcPr>
          <w:p w:rsidR="00DC4D4F" w:rsidRPr="00DC4D4F" w:rsidRDefault="00DC4D4F" w:rsidP="00DC4D4F">
            <w:pPr>
              <w:widowControl/>
              <w:autoSpaceDE/>
              <w:autoSpaceDN/>
              <w:adjustRightInd/>
              <w:jc w:val="center"/>
              <w:rPr>
                <w:rFonts w:eastAsia="Calibri" w:cs="Arial"/>
                <w:b/>
                <w:sz w:val="22"/>
                <w:szCs w:val="22"/>
              </w:rPr>
            </w:pPr>
            <w:r w:rsidRPr="00DC4D4F">
              <w:rPr>
                <w:rFonts w:eastAsia="Calibri" w:cs="Arial"/>
                <w:b/>
                <w:sz w:val="22"/>
                <w:szCs w:val="22"/>
              </w:rPr>
              <w:t>nein</w:t>
            </w:r>
          </w:p>
        </w:tc>
      </w:tr>
      <w:tr w:rsidR="0042621C" w:rsidRPr="00DC4D4F" w:rsidTr="00B6672D">
        <w:tc>
          <w:tcPr>
            <w:tcW w:w="3539" w:type="dxa"/>
          </w:tcPr>
          <w:p w:rsidR="00DC4D4F" w:rsidRPr="00DC4D4F" w:rsidRDefault="00DC4D4F" w:rsidP="0042621C">
            <w:pPr>
              <w:widowControl/>
              <w:autoSpaceDE/>
              <w:autoSpaceDN/>
              <w:adjustRightInd/>
              <w:rPr>
                <w:rFonts w:eastAsia="Calibri" w:cs="Arial"/>
                <w:sz w:val="22"/>
                <w:szCs w:val="22"/>
              </w:rPr>
            </w:pPr>
            <w:r w:rsidRPr="00DC4D4F">
              <w:rPr>
                <w:rFonts w:eastAsia="Calibri" w:cs="Arial"/>
                <w:sz w:val="22"/>
                <w:szCs w:val="22"/>
              </w:rPr>
              <w:t xml:space="preserve">Rechnung vom </w:t>
            </w:r>
            <w:r w:rsidR="0042621C">
              <w:rPr>
                <w:rFonts w:eastAsia="Calibri" w:cs="Arial"/>
                <w:sz w:val="22"/>
                <w:szCs w:val="22"/>
              </w:rPr>
              <w:t>25</w:t>
            </w:r>
            <w:r w:rsidRPr="00DC4D4F">
              <w:rPr>
                <w:rFonts w:eastAsia="Calibri" w:cs="Arial"/>
                <w:sz w:val="22"/>
                <w:szCs w:val="22"/>
              </w:rPr>
              <w:t xml:space="preserve">. </w:t>
            </w:r>
            <w:r w:rsidR="0042621C">
              <w:rPr>
                <w:rFonts w:eastAsia="Calibri" w:cs="Arial"/>
                <w:sz w:val="22"/>
                <w:szCs w:val="22"/>
              </w:rPr>
              <w:t>Mai</w:t>
            </w:r>
            <w:r w:rsidRPr="00DC4D4F">
              <w:rPr>
                <w:rFonts w:eastAsia="Calibri" w:cs="Arial"/>
                <w:sz w:val="22"/>
                <w:szCs w:val="22"/>
              </w:rPr>
              <w:t xml:space="preserve"> des laufenden Jahres</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42621C">
            <w:pPr>
              <w:widowControl/>
              <w:autoSpaceDE/>
              <w:autoSpaceDN/>
              <w:adjustRightInd/>
              <w:rPr>
                <w:rFonts w:eastAsia="Calibri" w:cs="Arial"/>
                <w:sz w:val="22"/>
                <w:szCs w:val="22"/>
              </w:rPr>
            </w:pPr>
            <w:r w:rsidRPr="00DC4D4F">
              <w:rPr>
                <w:rFonts w:eastAsia="Calibri" w:cs="Arial"/>
                <w:sz w:val="22"/>
                <w:szCs w:val="22"/>
              </w:rPr>
              <w:t xml:space="preserve">Blumenquittung vom </w:t>
            </w:r>
            <w:r w:rsidR="0042621C">
              <w:rPr>
                <w:rFonts w:eastAsia="Calibri" w:cs="Arial"/>
                <w:sz w:val="22"/>
                <w:szCs w:val="22"/>
              </w:rPr>
              <w:t>15</w:t>
            </w:r>
            <w:r w:rsidRPr="00DC4D4F">
              <w:rPr>
                <w:rFonts w:eastAsia="Calibri" w:cs="Arial"/>
                <w:sz w:val="22"/>
                <w:szCs w:val="22"/>
              </w:rPr>
              <w:t>. Juni des Vorjahres für ein Jubiläum</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E354A7" w:rsidP="00DC4D4F">
            <w:pPr>
              <w:widowControl/>
              <w:autoSpaceDE/>
              <w:autoSpaceDN/>
              <w:adjustRightInd/>
              <w:rPr>
                <w:rFonts w:eastAsia="Calibri" w:cs="Arial"/>
                <w:sz w:val="22"/>
                <w:szCs w:val="22"/>
              </w:rPr>
            </w:pPr>
            <w:r>
              <w:rPr>
                <w:rFonts w:eastAsia="Calibri" w:cs="Arial"/>
                <w:sz w:val="22"/>
                <w:szCs w:val="22"/>
              </w:rPr>
              <w:t>Konto</w:t>
            </w:r>
            <w:r w:rsidR="00DC4D4F" w:rsidRPr="00DC4D4F">
              <w:rPr>
                <w:rFonts w:eastAsia="Calibri" w:cs="Arial"/>
                <w:sz w:val="22"/>
                <w:szCs w:val="22"/>
              </w:rPr>
              <w:t>auszug von Juni vor fünf Jahren</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DC4D4F">
            <w:pPr>
              <w:widowControl/>
              <w:autoSpaceDE/>
              <w:autoSpaceDN/>
              <w:adjustRightInd/>
              <w:rPr>
                <w:rFonts w:eastAsia="Calibri" w:cs="Arial"/>
                <w:sz w:val="22"/>
                <w:szCs w:val="22"/>
              </w:rPr>
            </w:pPr>
            <w:r w:rsidRPr="00DC4D4F">
              <w:rPr>
                <w:rFonts w:eastAsia="Calibri" w:cs="Arial"/>
                <w:sz w:val="22"/>
                <w:szCs w:val="22"/>
              </w:rPr>
              <w:t>Angebot an einen Kunden vom laufenden Jahr</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DC4D4F">
            <w:pPr>
              <w:widowControl/>
              <w:autoSpaceDE/>
              <w:autoSpaceDN/>
              <w:adjustRightInd/>
              <w:rPr>
                <w:rFonts w:eastAsia="Calibri" w:cs="Arial"/>
                <w:sz w:val="22"/>
                <w:szCs w:val="22"/>
              </w:rPr>
            </w:pPr>
            <w:r w:rsidRPr="00DC4D4F">
              <w:rPr>
                <w:rFonts w:eastAsia="Calibri" w:cs="Arial"/>
                <w:sz w:val="22"/>
                <w:szCs w:val="22"/>
              </w:rPr>
              <w:t>Gebrauchsanweisung für die Kaffeemaschine vom Vorjahr</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DC4D4F">
            <w:pPr>
              <w:widowControl/>
              <w:autoSpaceDE/>
              <w:autoSpaceDN/>
              <w:adjustRightInd/>
              <w:rPr>
                <w:rFonts w:eastAsia="Calibri" w:cs="Arial"/>
                <w:sz w:val="22"/>
                <w:szCs w:val="22"/>
              </w:rPr>
            </w:pPr>
            <w:r w:rsidRPr="00DC4D4F">
              <w:rPr>
                <w:rFonts w:eastAsia="Calibri" w:cs="Arial"/>
                <w:sz w:val="22"/>
                <w:szCs w:val="22"/>
              </w:rPr>
              <w:t>9 Jahre alte Bilanz mit Datum vom 30. September</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DC4D4F">
            <w:pPr>
              <w:widowControl/>
              <w:autoSpaceDE/>
              <w:autoSpaceDN/>
              <w:adjustRightInd/>
              <w:rPr>
                <w:rFonts w:eastAsia="Calibri" w:cs="Arial"/>
                <w:sz w:val="22"/>
                <w:szCs w:val="22"/>
              </w:rPr>
            </w:pPr>
            <w:r w:rsidRPr="00DC4D4F">
              <w:rPr>
                <w:rFonts w:eastAsia="Calibri" w:cs="Arial"/>
                <w:sz w:val="22"/>
                <w:szCs w:val="22"/>
              </w:rPr>
              <w:t>Kopie einer Bestellung, Bestellung liegt 7 Jahre zurück</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c>
          <w:tcPr>
            <w:tcW w:w="3539" w:type="dxa"/>
          </w:tcPr>
          <w:p w:rsidR="00DC4D4F" w:rsidRPr="00DC4D4F" w:rsidRDefault="00DC4D4F" w:rsidP="00DC4D4F">
            <w:pPr>
              <w:widowControl/>
              <w:autoSpaceDE/>
              <w:autoSpaceDN/>
              <w:adjustRightInd/>
              <w:rPr>
                <w:rFonts w:eastAsia="Calibri" w:cs="Arial"/>
                <w:sz w:val="22"/>
                <w:szCs w:val="22"/>
              </w:rPr>
            </w:pPr>
            <w:r w:rsidRPr="00DC4D4F">
              <w:rPr>
                <w:rFonts w:eastAsia="Calibri" w:cs="Arial"/>
                <w:sz w:val="22"/>
                <w:szCs w:val="22"/>
              </w:rPr>
              <w:t>Geburtstagskarte an einen ehemaligen Kollegen</w:t>
            </w:r>
          </w:p>
        </w:tc>
        <w:tc>
          <w:tcPr>
            <w:tcW w:w="1418" w:type="dxa"/>
          </w:tcPr>
          <w:p w:rsidR="00DC4D4F" w:rsidRPr="00DC4D4F" w:rsidRDefault="00DC4D4F" w:rsidP="00DC4D4F">
            <w:pPr>
              <w:widowControl/>
              <w:autoSpaceDE/>
              <w:autoSpaceDN/>
              <w:adjustRightInd/>
              <w:rPr>
                <w:rFonts w:eastAsia="Calibri" w:cs="Arial"/>
                <w:sz w:val="22"/>
                <w:szCs w:val="22"/>
              </w:rPr>
            </w:pPr>
          </w:p>
        </w:tc>
        <w:tc>
          <w:tcPr>
            <w:tcW w:w="1417" w:type="dxa"/>
          </w:tcPr>
          <w:p w:rsidR="00DC4D4F" w:rsidRPr="00DC4D4F" w:rsidRDefault="00DC4D4F" w:rsidP="00DC4D4F">
            <w:pPr>
              <w:widowControl/>
              <w:autoSpaceDE/>
              <w:autoSpaceDN/>
              <w:adjustRightInd/>
              <w:rPr>
                <w:rFonts w:eastAsia="Calibri" w:cs="Arial"/>
                <w:sz w:val="22"/>
                <w:szCs w:val="22"/>
              </w:rPr>
            </w:pPr>
          </w:p>
        </w:tc>
        <w:tc>
          <w:tcPr>
            <w:tcW w:w="1276" w:type="dxa"/>
          </w:tcPr>
          <w:p w:rsidR="00DC4D4F" w:rsidRPr="00DC4D4F" w:rsidRDefault="00DC4D4F" w:rsidP="00DC4D4F">
            <w:pPr>
              <w:widowControl/>
              <w:autoSpaceDE/>
              <w:autoSpaceDN/>
              <w:adjustRightInd/>
              <w:rPr>
                <w:rFonts w:eastAsia="Calibri" w:cs="Arial"/>
                <w:sz w:val="22"/>
                <w:szCs w:val="22"/>
              </w:rPr>
            </w:pPr>
          </w:p>
        </w:tc>
        <w:tc>
          <w:tcPr>
            <w:tcW w:w="1134" w:type="dxa"/>
          </w:tcPr>
          <w:p w:rsidR="00DC4D4F" w:rsidRPr="00DC4D4F" w:rsidRDefault="00DC4D4F" w:rsidP="00DC4D4F">
            <w:pPr>
              <w:widowControl/>
              <w:autoSpaceDE/>
              <w:autoSpaceDN/>
              <w:adjustRightInd/>
              <w:rPr>
                <w:rFonts w:eastAsia="Calibri" w:cs="Arial"/>
                <w:sz w:val="22"/>
                <w:szCs w:val="22"/>
              </w:rPr>
            </w:pPr>
          </w:p>
        </w:tc>
        <w:tc>
          <w:tcPr>
            <w:tcW w:w="1105" w:type="dxa"/>
          </w:tcPr>
          <w:p w:rsidR="00DC4D4F" w:rsidRPr="00DC4D4F" w:rsidRDefault="00DC4D4F" w:rsidP="00DC4D4F">
            <w:pPr>
              <w:widowControl/>
              <w:autoSpaceDE/>
              <w:autoSpaceDN/>
              <w:adjustRightInd/>
              <w:rPr>
                <w:rFonts w:eastAsia="Calibri" w:cs="Arial"/>
                <w:sz w:val="22"/>
                <w:szCs w:val="22"/>
              </w:rPr>
            </w:pPr>
          </w:p>
        </w:tc>
      </w:tr>
      <w:tr w:rsidR="0042621C" w:rsidRPr="00DC4D4F" w:rsidTr="00B6672D">
        <w:trPr>
          <w:trHeight w:val="494"/>
        </w:trPr>
        <w:tc>
          <w:tcPr>
            <w:tcW w:w="3539" w:type="dxa"/>
            <w:vAlign w:val="center"/>
          </w:tcPr>
          <w:p w:rsidR="0042621C" w:rsidRPr="00DC4D4F" w:rsidRDefault="0042621C" w:rsidP="00DC4D4F">
            <w:pPr>
              <w:widowControl/>
              <w:autoSpaceDE/>
              <w:autoSpaceDN/>
              <w:adjustRightInd/>
              <w:rPr>
                <w:rFonts w:eastAsia="Calibri" w:cs="Arial"/>
                <w:sz w:val="22"/>
                <w:szCs w:val="22"/>
              </w:rPr>
            </w:pPr>
            <w:r>
              <w:rPr>
                <w:rFonts w:eastAsia="Calibri" w:cs="Arial"/>
                <w:sz w:val="22"/>
                <w:szCs w:val="22"/>
              </w:rPr>
              <w:t>15 Jahre altes Inventar</w:t>
            </w:r>
          </w:p>
        </w:tc>
        <w:tc>
          <w:tcPr>
            <w:tcW w:w="1418" w:type="dxa"/>
          </w:tcPr>
          <w:p w:rsidR="0042621C" w:rsidRPr="00DC4D4F" w:rsidRDefault="0042621C" w:rsidP="00DC4D4F">
            <w:pPr>
              <w:widowControl/>
              <w:autoSpaceDE/>
              <w:autoSpaceDN/>
              <w:adjustRightInd/>
              <w:rPr>
                <w:rFonts w:eastAsia="Calibri" w:cs="Arial"/>
                <w:sz w:val="22"/>
                <w:szCs w:val="22"/>
              </w:rPr>
            </w:pPr>
          </w:p>
        </w:tc>
        <w:tc>
          <w:tcPr>
            <w:tcW w:w="1417" w:type="dxa"/>
          </w:tcPr>
          <w:p w:rsidR="0042621C" w:rsidRPr="00DC4D4F" w:rsidRDefault="0042621C" w:rsidP="00DC4D4F">
            <w:pPr>
              <w:widowControl/>
              <w:autoSpaceDE/>
              <w:autoSpaceDN/>
              <w:adjustRightInd/>
              <w:rPr>
                <w:rFonts w:eastAsia="Calibri" w:cs="Arial"/>
                <w:sz w:val="22"/>
                <w:szCs w:val="22"/>
              </w:rPr>
            </w:pPr>
          </w:p>
        </w:tc>
        <w:tc>
          <w:tcPr>
            <w:tcW w:w="1276" w:type="dxa"/>
          </w:tcPr>
          <w:p w:rsidR="0042621C" w:rsidRPr="00DC4D4F" w:rsidRDefault="0042621C" w:rsidP="00DC4D4F">
            <w:pPr>
              <w:widowControl/>
              <w:autoSpaceDE/>
              <w:autoSpaceDN/>
              <w:adjustRightInd/>
              <w:rPr>
                <w:rFonts w:eastAsia="Calibri" w:cs="Arial"/>
                <w:sz w:val="22"/>
                <w:szCs w:val="22"/>
              </w:rPr>
            </w:pPr>
          </w:p>
        </w:tc>
        <w:tc>
          <w:tcPr>
            <w:tcW w:w="1134" w:type="dxa"/>
          </w:tcPr>
          <w:p w:rsidR="0042621C" w:rsidRPr="00DC4D4F" w:rsidRDefault="0042621C" w:rsidP="00DC4D4F">
            <w:pPr>
              <w:widowControl/>
              <w:autoSpaceDE/>
              <w:autoSpaceDN/>
              <w:adjustRightInd/>
              <w:rPr>
                <w:rFonts w:eastAsia="Calibri" w:cs="Arial"/>
                <w:sz w:val="22"/>
                <w:szCs w:val="22"/>
              </w:rPr>
            </w:pPr>
          </w:p>
        </w:tc>
        <w:tc>
          <w:tcPr>
            <w:tcW w:w="1105" w:type="dxa"/>
          </w:tcPr>
          <w:p w:rsidR="0042621C" w:rsidRPr="00DC4D4F" w:rsidRDefault="0042621C" w:rsidP="00DC4D4F">
            <w:pPr>
              <w:widowControl/>
              <w:autoSpaceDE/>
              <w:autoSpaceDN/>
              <w:adjustRightInd/>
              <w:rPr>
                <w:rFonts w:eastAsia="Calibri" w:cs="Arial"/>
                <w:sz w:val="22"/>
                <w:szCs w:val="22"/>
              </w:rPr>
            </w:pPr>
          </w:p>
        </w:tc>
      </w:tr>
      <w:tr w:rsidR="0042621C" w:rsidRPr="00DC4D4F" w:rsidTr="00B6672D">
        <w:tc>
          <w:tcPr>
            <w:tcW w:w="3539" w:type="dxa"/>
          </w:tcPr>
          <w:p w:rsidR="0042621C" w:rsidRDefault="0042621C" w:rsidP="00DC4D4F">
            <w:pPr>
              <w:widowControl/>
              <w:autoSpaceDE/>
              <w:autoSpaceDN/>
              <w:adjustRightInd/>
              <w:rPr>
                <w:rFonts w:eastAsia="Calibri" w:cs="Arial"/>
                <w:sz w:val="22"/>
                <w:szCs w:val="22"/>
              </w:rPr>
            </w:pPr>
            <w:r>
              <w:rPr>
                <w:rFonts w:eastAsia="Calibri" w:cs="Arial"/>
                <w:sz w:val="22"/>
                <w:szCs w:val="22"/>
              </w:rPr>
              <w:t>erhaltene Mahnung aus dem Vorjahr</w:t>
            </w:r>
          </w:p>
        </w:tc>
        <w:tc>
          <w:tcPr>
            <w:tcW w:w="1418" w:type="dxa"/>
          </w:tcPr>
          <w:p w:rsidR="0042621C" w:rsidRPr="00DC4D4F" w:rsidRDefault="0042621C" w:rsidP="00DC4D4F">
            <w:pPr>
              <w:widowControl/>
              <w:autoSpaceDE/>
              <w:autoSpaceDN/>
              <w:adjustRightInd/>
              <w:rPr>
                <w:rFonts w:eastAsia="Calibri" w:cs="Arial"/>
                <w:sz w:val="22"/>
                <w:szCs w:val="22"/>
              </w:rPr>
            </w:pPr>
          </w:p>
        </w:tc>
        <w:tc>
          <w:tcPr>
            <w:tcW w:w="1417" w:type="dxa"/>
          </w:tcPr>
          <w:p w:rsidR="0042621C" w:rsidRPr="00DC4D4F" w:rsidRDefault="0042621C" w:rsidP="00DC4D4F">
            <w:pPr>
              <w:widowControl/>
              <w:autoSpaceDE/>
              <w:autoSpaceDN/>
              <w:adjustRightInd/>
              <w:rPr>
                <w:rFonts w:eastAsia="Calibri" w:cs="Arial"/>
                <w:sz w:val="22"/>
                <w:szCs w:val="22"/>
              </w:rPr>
            </w:pPr>
          </w:p>
        </w:tc>
        <w:tc>
          <w:tcPr>
            <w:tcW w:w="1276" w:type="dxa"/>
          </w:tcPr>
          <w:p w:rsidR="0042621C" w:rsidRPr="00DC4D4F" w:rsidRDefault="0042621C" w:rsidP="00DC4D4F">
            <w:pPr>
              <w:widowControl/>
              <w:autoSpaceDE/>
              <w:autoSpaceDN/>
              <w:adjustRightInd/>
              <w:rPr>
                <w:rFonts w:eastAsia="Calibri" w:cs="Arial"/>
                <w:sz w:val="22"/>
                <w:szCs w:val="22"/>
              </w:rPr>
            </w:pPr>
          </w:p>
        </w:tc>
        <w:tc>
          <w:tcPr>
            <w:tcW w:w="1134" w:type="dxa"/>
          </w:tcPr>
          <w:p w:rsidR="0042621C" w:rsidRPr="00DC4D4F" w:rsidRDefault="0042621C" w:rsidP="00DC4D4F">
            <w:pPr>
              <w:widowControl/>
              <w:autoSpaceDE/>
              <w:autoSpaceDN/>
              <w:adjustRightInd/>
              <w:rPr>
                <w:rFonts w:eastAsia="Calibri" w:cs="Arial"/>
                <w:sz w:val="22"/>
                <w:szCs w:val="22"/>
              </w:rPr>
            </w:pPr>
          </w:p>
        </w:tc>
        <w:tc>
          <w:tcPr>
            <w:tcW w:w="1105" w:type="dxa"/>
          </w:tcPr>
          <w:p w:rsidR="0042621C" w:rsidRPr="00DC4D4F" w:rsidRDefault="0042621C" w:rsidP="00DC4D4F">
            <w:pPr>
              <w:widowControl/>
              <w:autoSpaceDE/>
              <w:autoSpaceDN/>
              <w:adjustRightInd/>
              <w:rPr>
                <w:rFonts w:eastAsia="Calibri" w:cs="Arial"/>
                <w:sz w:val="22"/>
                <w:szCs w:val="22"/>
              </w:rPr>
            </w:pPr>
          </w:p>
        </w:tc>
      </w:tr>
      <w:tr w:rsidR="00E354A7" w:rsidRPr="00DC4D4F" w:rsidTr="00B6672D">
        <w:tc>
          <w:tcPr>
            <w:tcW w:w="3539" w:type="dxa"/>
          </w:tcPr>
          <w:p w:rsidR="00E354A7" w:rsidRDefault="00E354A7" w:rsidP="00DC4D4F">
            <w:pPr>
              <w:widowControl/>
              <w:autoSpaceDE/>
              <w:autoSpaceDN/>
              <w:adjustRightInd/>
              <w:rPr>
                <w:rFonts w:eastAsia="Calibri" w:cs="Arial"/>
                <w:sz w:val="22"/>
                <w:szCs w:val="22"/>
              </w:rPr>
            </w:pPr>
            <w:r>
              <w:rPr>
                <w:rFonts w:eastAsia="Calibri" w:cs="Arial"/>
                <w:sz w:val="22"/>
                <w:szCs w:val="22"/>
              </w:rPr>
              <w:t>Reisekostenabrechnung von vor 9 Jahren</w:t>
            </w:r>
          </w:p>
        </w:tc>
        <w:tc>
          <w:tcPr>
            <w:tcW w:w="1418" w:type="dxa"/>
          </w:tcPr>
          <w:p w:rsidR="00E354A7" w:rsidRPr="00DC4D4F" w:rsidRDefault="00E354A7" w:rsidP="00DC4D4F">
            <w:pPr>
              <w:widowControl/>
              <w:autoSpaceDE/>
              <w:autoSpaceDN/>
              <w:adjustRightInd/>
              <w:rPr>
                <w:rFonts w:eastAsia="Calibri" w:cs="Arial"/>
                <w:sz w:val="22"/>
                <w:szCs w:val="22"/>
              </w:rPr>
            </w:pPr>
          </w:p>
        </w:tc>
        <w:tc>
          <w:tcPr>
            <w:tcW w:w="1417" w:type="dxa"/>
          </w:tcPr>
          <w:p w:rsidR="00E354A7" w:rsidRPr="00DC4D4F" w:rsidRDefault="00E354A7" w:rsidP="00DC4D4F">
            <w:pPr>
              <w:widowControl/>
              <w:autoSpaceDE/>
              <w:autoSpaceDN/>
              <w:adjustRightInd/>
              <w:rPr>
                <w:rFonts w:eastAsia="Calibri" w:cs="Arial"/>
                <w:sz w:val="22"/>
                <w:szCs w:val="22"/>
              </w:rPr>
            </w:pPr>
          </w:p>
        </w:tc>
        <w:tc>
          <w:tcPr>
            <w:tcW w:w="1276" w:type="dxa"/>
          </w:tcPr>
          <w:p w:rsidR="00E354A7" w:rsidRPr="00DC4D4F" w:rsidRDefault="00E354A7" w:rsidP="00DC4D4F">
            <w:pPr>
              <w:widowControl/>
              <w:autoSpaceDE/>
              <w:autoSpaceDN/>
              <w:adjustRightInd/>
              <w:rPr>
                <w:rFonts w:eastAsia="Calibri" w:cs="Arial"/>
                <w:sz w:val="22"/>
                <w:szCs w:val="22"/>
              </w:rPr>
            </w:pPr>
          </w:p>
        </w:tc>
        <w:tc>
          <w:tcPr>
            <w:tcW w:w="1134" w:type="dxa"/>
          </w:tcPr>
          <w:p w:rsidR="00E354A7" w:rsidRPr="00DC4D4F" w:rsidRDefault="00E354A7" w:rsidP="00DC4D4F">
            <w:pPr>
              <w:widowControl/>
              <w:autoSpaceDE/>
              <w:autoSpaceDN/>
              <w:adjustRightInd/>
              <w:rPr>
                <w:rFonts w:eastAsia="Calibri" w:cs="Arial"/>
                <w:sz w:val="22"/>
                <w:szCs w:val="22"/>
              </w:rPr>
            </w:pPr>
          </w:p>
        </w:tc>
        <w:tc>
          <w:tcPr>
            <w:tcW w:w="1105" w:type="dxa"/>
          </w:tcPr>
          <w:p w:rsidR="00E354A7" w:rsidRPr="00DC4D4F" w:rsidRDefault="00E354A7" w:rsidP="00DC4D4F">
            <w:pPr>
              <w:widowControl/>
              <w:autoSpaceDE/>
              <w:autoSpaceDN/>
              <w:adjustRightInd/>
              <w:rPr>
                <w:rFonts w:eastAsia="Calibri" w:cs="Arial"/>
                <w:sz w:val="22"/>
                <w:szCs w:val="22"/>
              </w:rPr>
            </w:pPr>
          </w:p>
        </w:tc>
      </w:tr>
      <w:tr w:rsidR="00E354A7" w:rsidRPr="00DC4D4F" w:rsidTr="00B6672D">
        <w:tc>
          <w:tcPr>
            <w:tcW w:w="3539" w:type="dxa"/>
          </w:tcPr>
          <w:p w:rsidR="00E354A7" w:rsidRDefault="00E354A7" w:rsidP="00DC4D4F">
            <w:pPr>
              <w:widowControl/>
              <w:autoSpaceDE/>
              <w:autoSpaceDN/>
              <w:adjustRightInd/>
              <w:rPr>
                <w:rFonts w:eastAsia="Calibri" w:cs="Arial"/>
                <w:sz w:val="22"/>
                <w:szCs w:val="22"/>
              </w:rPr>
            </w:pPr>
            <w:r>
              <w:rPr>
                <w:rFonts w:eastAsia="Calibri" w:cs="Arial"/>
                <w:sz w:val="22"/>
                <w:szCs w:val="22"/>
              </w:rPr>
              <w:t xml:space="preserve">Einladung zu einem Vortrag der Handelskammer zum Thema </w:t>
            </w:r>
            <w:r w:rsidR="00A726E8">
              <w:rPr>
                <w:rFonts w:eastAsia="Calibri" w:cs="Arial"/>
                <w:sz w:val="22"/>
                <w:szCs w:val="22"/>
              </w:rPr>
              <w:t>„Buchführung aktuell“ von Anfang des Jahres</w:t>
            </w:r>
          </w:p>
        </w:tc>
        <w:tc>
          <w:tcPr>
            <w:tcW w:w="1418" w:type="dxa"/>
          </w:tcPr>
          <w:p w:rsidR="00E354A7" w:rsidRPr="00DC4D4F" w:rsidRDefault="00E354A7" w:rsidP="00DC4D4F">
            <w:pPr>
              <w:widowControl/>
              <w:autoSpaceDE/>
              <w:autoSpaceDN/>
              <w:adjustRightInd/>
              <w:rPr>
                <w:rFonts w:eastAsia="Calibri" w:cs="Arial"/>
                <w:sz w:val="22"/>
                <w:szCs w:val="22"/>
              </w:rPr>
            </w:pPr>
          </w:p>
        </w:tc>
        <w:tc>
          <w:tcPr>
            <w:tcW w:w="1417" w:type="dxa"/>
          </w:tcPr>
          <w:p w:rsidR="00E354A7" w:rsidRPr="00DC4D4F" w:rsidRDefault="00E354A7" w:rsidP="00DC4D4F">
            <w:pPr>
              <w:widowControl/>
              <w:autoSpaceDE/>
              <w:autoSpaceDN/>
              <w:adjustRightInd/>
              <w:rPr>
                <w:rFonts w:eastAsia="Calibri" w:cs="Arial"/>
                <w:sz w:val="22"/>
                <w:szCs w:val="22"/>
              </w:rPr>
            </w:pPr>
          </w:p>
        </w:tc>
        <w:tc>
          <w:tcPr>
            <w:tcW w:w="1276" w:type="dxa"/>
          </w:tcPr>
          <w:p w:rsidR="00E354A7" w:rsidRPr="00DC4D4F" w:rsidRDefault="00E354A7" w:rsidP="00DC4D4F">
            <w:pPr>
              <w:widowControl/>
              <w:autoSpaceDE/>
              <w:autoSpaceDN/>
              <w:adjustRightInd/>
              <w:rPr>
                <w:rFonts w:eastAsia="Calibri" w:cs="Arial"/>
                <w:sz w:val="22"/>
                <w:szCs w:val="22"/>
              </w:rPr>
            </w:pPr>
          </w:p>
        </w:tc>
        <w:tc>
          <w:tcPr>
            <w:tcW w:w="1134" w:type="dxa"/>
          </w:tcPr>
          <w:p w:rsidR="00E354A7" w:rsidRPr="00DC4D4F" w:rsidRDefault="00E354A7" w:rsidP="00DC4D4F">
            <w:pPr>
              <w:widowControl/>
              <w:autoSpaceDE/>
              <w:autoSpaceDN/>
              <w:adjustRightInd/>
              <w:rPr>
                <w:rFonts w:eastAsia="Calibri" w:cs="Arial"/>
                <w:sz w:val="22"/>
                <w:szCs w:val="22"/>
              </w:rPr>
            </w:pPr>
          </w:p>
        </w:tc>
        <w:tc>
          <w:tcPr>
            <w:tcW w:w="1105" w:type="dxa"/>
          </w:tcPr>
          <w:p w:rsidR="00E354A7" w:rsidRPr="00DC4D4F" w:rsidRDefault="00E354A7" w:rsidP="00DC4D4F">
            <w:pPr>
              <w:widowControl/>
              <w:autoSpaceDE/>
              <w:autoSpaceDN/>
              <w:adjustRightInd/>
              <w:rPr>
                <w:rFonts w:eastAsia="Calibri" w:cs="Arial"/>
                <w:sz w:val="22"/>
                <w:szCs w:val="22"/>
              </w:rPr>
            </w:pPr>
          </w:p>
        </w:tc>
      </w:tr>
    </w:tbl>
    <w:p w:rsidR="00A91F76" w:rsidRDefault="00A91F76" w:rsidP="00A91F76">
      <w:pPr>
        <w:widowControl/>
        <w:tabs>
          <w:tab w:val="left" w:pos="426"/>
          <w:tab w:val="left" w:pos="5670"/>
          <w:tab w:val="right" w:pos="7372"/>
          <w:tab w:val="decimal" w:pos="9356"/>
        </w:tabs>
        <w:autoSpaceDE/>
        <w:autoSpaceDN/>
        <w:adjustRightInd/>
        <w:rPr>
          <w:sz w:val="20"/>
        </w:rPr>
      </w:pPr>
    </w:p>
    <w:p w:rsidR="00AA5A2E" w:rsidRPr="00A91F76" w:rsidRDefault="00AA5A2E" w:rsidP="00A91F76">
      <w:pPr>
        <w:widowControl/>
        <w:tabs>
          <w:tab w:val="left" w:pos="426"/>
          <w:tab w:val="left" w:pos="5670"/>
          <w:tab w:val="right" w:pos="7372"/>
          <w:tab w:val="decimal" w:pos="9356"/>
        </w:tabs>
        <w:autoSpaceDE/>
        <w:autoSpaceDN/>
        <w:adjustRightInd/>
        <w:rPr>
          <w:sz w:val="20"/>
        </w:rPr>
      </w:pPr>
    </w:p>
    <w:p w:rsidR="00A91F76" w:rsidRPr="00A91F76" w:rsidRDefault="00A91F76" w:rsidP="00AA5A2E">
      <w:pPr>
        <w:pBdr>
          <w:top w:val="single" w:sz="4" w:space="1" w:color="auto"/>
          <w:left w:val="single" w:sz="4" w:space="4" w:color="auto"/>
          <w:bottom w:val="single" w:sz="4" w:space="1" w:color="auto"/>
          <w:right w:val="single" w:sz="4" w:space="4" w:color="auto"/>
        </w:pBdr>
        <w:shd w:val="clear" w:color="auto" w:fill="CCFFCC"/>
        <w:spacing w:before="120"/>
        <w:ind w:left="833" w:right="-143" w:hanging="720"/>
        <w:rPr>
          <w:rFonts w:asciiTheme="minorHAnsi" w:hAnsiTheme="minorHAnsi" w:cstheme="minorHAnsi"/>
          <w:b/>
          <w:bCs/>
          <w:sz w:val="26"/>
          <w:szCs w:val="26"/>
        </w:rPr>
      </w:pPr>
      <w:r w:rsidRPr="00A91F76">
        <w:rPr>
          <w:rFonts w:asciiTheme="minorHAnsi" w:hAnsiTheme="minorHAnsi" w:cstheme="minorHAnsi"/>
          <w:b/>
          <w:bCs/>
          <w:sz w:val="26"/>
          <w:szCs w:val="26"/>
        </w:rPr>
        <w:t xml:space="preserve">Material für </w:t>
      </w:r>
      <w:r>
        <w:rPr>
          <w:rFonts w:asciiTheme="minorHAnsi" w:hAnsiTheme="minorHAnsi" w:cstheme="minorHAnsi"/>
          <w:b/>
          <w:bCs/>
          <w:sz w:val="26"/>
          <w:szCs w:val="26"/>
        </w:rPr>
        <w:t>die Textarbeit</w:t>
      </w:r>
    </w:p>
    <w:p w:rsidR="00C1787D" w:rsidRPr="00577EFF" w:rsidRDefault="00C1787D" w:rsidP="00577EFF">
      <w:pPr>
        <w:tabs>
          <w:tab w:val="left" w:pos="8868"/>
        </w:tabs>
        <w:spacing w:line="276" w:lineRule="auto"/>
        <w:rPr>
          <w:sz w:val="23"/>
          <w:szCs w:val="23"/>
        </w:rPr>
      </w:pPr>
    </w:p>
    <w:p w:rsidR="00C1787D" w:rsidRDefault="00A91F76" w:rsidP="00A91F76">
      <w:pPr>
        <w:widowControl/>
        <w:autoSpaceDE/>
        <w:autoSpaceDN/>
        <w:adjustRightInd/>
        <w:spacing w:after="160" w:line="259" w:lineRule="auto"/>
      </w:pPr>
      <w:r w:rsidRPr="00577EFF">
        <w:rPr>
          <w:rFonts w:asciiTheme="minorHAnsi" w:hAnsiTheme="minorHAnsi"/>
          <w:color w:val="000000" w:themeColor="text1"/>
          <w:u w:val="single"/>
        </w:rPr>
        <w:t xml:space="preserve">Anlage </w:t>
      </w:r>
      <w:r>
        <w:rPr>
          <w:rFonts w:asciiTheme="minorHAnsi" w:hAnsiTheme="minorHAnsi"/>
          <w:color w:val="000000" w:themeColor="text1"/>
          <w:u w:val="single"/>
        </w:rPr>
        <w:t>5</w:t>
      </w:r>
      <w:r w:rsidRPr="00577EFF">
        <w:rPr>
          <w:rFonts w:asciiTheme="minorHAnsi" w:hAnsiTheme="minorHAnsi"/>
          <w:color w:val="000000" w:themeColor="text1"/>
        </w:rPr>
        <w:t>:</w:t>
      </w:r>
      <w:r>
        <w:rPr>
          <w:rFonts w:asciiTheme="minorHAnsi" w:hAnsiTheme="minorHAnsi"/>
          <w:color w:val="000000" w:themeColor="text1"/>
        </w:rPr>
        <w:t xml:space="preserve"> Fragen an die Paragrafen</w:t>
      </w:r>
      <w:r w:rsidR="007F28C0">
        <w:rPr>
          <w:rFonts w:asciiTheme="minorHAnsi" w:hAnsiTheme="minorHAnsi"/>
          <w:color w:val="000000" w:themeColor="text1"/>
        </w:rPr>
        <w:t xml:space="preserve"> stellen</w:t>
      </w:r>
    </w:p>
    <w:tbl>
      <w:tblPr>
        <w:tblStyle w:val="Tabellenraster1"/>
        <w:tblpPr w:leftFromText="141" w:rightFromText="141" w:vertAnchor="text" w:horzAnchor="margin" w:tblpY="73"/>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18"/>
      </w:tblGrid>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r w:rsidRPr="00A91F76">
              <w:rPr>
                <w:rFonts w:asciiTheme="minorHAnsi" w:eastAsiaTheme="minorHAnsi" w:hAnsiTheme="minorHAnsi" w:cstheme="minorBidi"/>
                <w:sz w:val="40"/>
                <w:szCs w:val="22"/>
                <w:lang w:eastAsia="en-US"/>
              </w:rPr>
              <w:sym w:font="Wingdings" w:char="F021"/>
            </w: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91F76" w:rsidRPr="00A91F76" w:rsidTr="00895010">
        <w:trPr>
          <w:trHeight w:val="454"/>
        </w:trPr>
        <w:tc>
          <w:tcPr>
            <w:tcW w:w="9918" w:type="dxa"/>
          </w:tcPr>
          <w:p w:rsidR="00A91F76" w:rsidRPr="00A91F76" w:rsidRDefault="00A91F76" w:rsidP="00A91F76">
            <w:pPr>
              <w:widowControl/>
              <w:autoSpaceDE/>
              <w:autoSpaceDN/>
              <w:adjustRightInd/>
              <w:rPr>
                <w:rFonts w:asciiTheme="minorHAnsi" w:eastAsiaTheme="minorHAnsi" w:hAnsiTheme="minorHAnsi" w:cstheme="minorBidi"/>
                <w:sz w:val="22"/>
                <w:szCs w:val="22"/>
                <w:lang w:eastAsia="en-US"/>
              </w:rPr>
            </w:pPr>
          </w:p>
        </w:tc>
      </w:tr>
      <w:tr w:rsidR="00AA5A2E" w:rsidRPr="00A91F76" w:rsidTr="00895010">
        <w:trPr>
          <w:trHeight w:val="454"/>
        </w:trPr>
        <w:tc>
          <w:tcPr>
            <w:tcW w:w="9918" w:type="dxa"/>
          </w:tcPr>
          <w:p w:rsidR="00AA5A2E" w:rsidRPr="00A91F76" w:rsidRDefault="00AA5A2E" w:rsidP="00A91F76">
            <w:pPr>
              <w:widowControl/>
              <w:autoSpaceDE/>
              <w:autoSpaceDN/>
              <w:adjustRightInd/>
              <w:rPr>
                <w:rFonts w:asciiTheme="minorHAnsi" w:eastAsiaTheme="minorHAnsi" w:hAnsiTheme="minorHAnsi" w:cstheme="minorBidi"/>
                <w:sz w:val="22"/>
                <w:szCs w:val="22"/>
                <w:lang w:eastAsia="en-US"/>
              </w:rPr>
            </w:pPr>
          </w:p>
        </w:tc>
      </w:tr>
      <w:tr w:rsidR="00AA5A2E" w:rsidRPr="00A91F76" w:rsidTr="00895010">
        <w:trPr>
          <w:trHeight w:val="454"/>
        </w:trPr>
        <w:tc>
          <w:tcPr>
            <w:tcW w:w="9918" w:type="dxa"/>
          </w:tcPr>
          <w:p w:rsidR="00AA5A2E" w:rsidRPr="00A91F76" w:rsidRDefault="00AA5A2E" w:rsidP="00A91F76">
            <w:pPr>
              <w:widowControl/>
              <w:autoSpaceDE/>
              <w:autoSpaceDN/>
              <w:adjustRightInd/>
              <w:rPr>
                <w:rFonts w:asciiTheme="minorHAnsi" w:eastAsiaTheme="minorHAnsi" w:hAnsiTheme="minorHAnsi" w:cstheme="minorBidi"/>
                <w:sz w:val="22"/>
                <w:szCs w:val="22"/>
                <w:lang w:eastAsia="en-US"/>
              </w:rPr>
            </w:pPr>
          </w:p>
        </w:tc>
      </w:tr>
    </w:tbl>
    <w:p w:rsidR="00985237" w:rsidRDefault="00985237" w:rsidP="00FD6DC3">
      <w:pPr>
        <w:widowControl/>
        <w:tabs>
          <w:tab w:val="left" w:pos="426"/>
          <w:tab w:val="left" w:pos="5670"/>
          <w:tab w:val="right" w:pos="7372"/>
          <w:tab w:val="decimal" w:pos="9356"/>
        </w:tabs>
        <w:autoSpaceDE/>
        <w:autoSpaceDN/>
        <w:adjustRightInd/>
        <w:rPr>
          <w:sz w:val="20"/>
        </w:rPr>
      </w:pPr>
    </w:p>
    <w:p w:rsidR="00985237" w:rsidRDefault="00985237">
      <w:pPr>
        <w:widowControl/>
        <w:autoSpaceDE/>
        <w:autoSpaceDN/>
        <w:adjustRightInd/>
        <w:spacing w:after="160" w:line="259" w:lineRule="auto"/>
        <w:rPr>
          <w:sz w:val="20"/>
        </w:rPr>
      </w:pPr>
      <w:r>
        <w:rPr>
          <w:sz w:val="20"/>
        </w:rPr>
        <w:br w:type="page"/>
      </w:r>
    </w:p>
    <w:p w:rsidR="00FD6DC3" w:rsidRPr="00A91F76" w:rsidRDefault="00FD6DC3" w:rsidP="00FD6DC3">
      <w:pPr>
        <w:pBdr>
          <w:top w:val="single" w:sz="4" w:space="1" w:color="auto"/>
          <w:left w:val="single" w:sz="4" w:space="4" w:color="auto"/>
          <w:bottom w:val="single" w:sz="4" w:space="1" w:color="auto"/>
          <w:right w:val="single" w:sz="4" w:space="4" w:color="auto"/>
        </w:pBdr>
        <w:shd w:val="clear" w:color="auto" w:fill="CCFFCC"/>
        <w:spacing w:before="120"/>
        <w:ind w:left="833" w:right="-143" w:hanging="720"/>
        <w:rPr>
          <w:rFonts w:asciiTheme="minorHAnsi" w:hAnsiTheme="minorHAnsi" w:cstheme="minorHAnsi"/>
          <w:b/>
          <w:bCs/>
          <w:sz w:val="26"/>
          <w:szCs w:val="26"/>
        </w:rPr>
      </w:pPr>
      <w:r>
        <w:rPr>
          <w:rFonts w:asciiTheme="minorHAnsi" w:hAnsiTheme="minorHAnsi" w:cstheme="minorHAnsi"/>
          <w:b/>
          <w:bCs/>
          <w:sz w:val="26"/>
          <w:szCs w:val="26"/>
        </w:rPr>
        <w:lastRenderedPageBreak/>
        <w:t>Übungsaufgaben</w:t>
      </w:r>
    </w:p>
    <w:p w:rsidR="00FD6DC3" w:rsidRPr="00577EFF" w:rsidRDefault="00FD6DC3" w:rsidP="00FD6DC3">
      <w:pPr>
        <w:tabs>
          <w:tab w:val="left" w:pos="8868"/>
        </w:tabs>
        <w:spacing w:line="276" w:lineRule="auto"/>
        <w:rPr>
          <w:sz w:val="23"/>
          <w:szCs w:val="23"/>
        </w:rPr>
      </w:pPr>
    </w:p>
    <w:p w:rsidR="00A726E8" w:rsidRPr="00FD6DC3" w:rsidRDefault="00FD6DC3" w:rsidP="00A726E8">
      <w:pPr>
        <w:rPr>
          <w:rFonts w:ascii="Cambria" w:hAnsi="Cambria"/>
          <w:b/>
          <w:sz w:val="26"/>
          <w:szCs w:val="26"/>
        </w:rPr>
      </w:pPr>
      <w:r w:rsidRPr="00FD6DC3">
        <w:rPr>
          <w:rFonts w:ascii="Cambria" w:hAnsi="Cambria"/>
          <w:b/>
          <w:sz w:val="26"/>
          <w:szCs w:val="26"/>
        </w:rPr>
        <w:t>A</w:t>
      </w:r>
      <w:r w:rsidR="00A726E8" w:rsidRPr="00FD6DC3">
        <w:rPr>
          <w:rFonts w:ascii="Cambria" w:hAnsi="Cambria"/>
          <w:b/>
          <w:sz w:val="26"/>
          <w:szCs w:val="26"/>
        </w:rPr>
        <w:t xml:space="preserve">ufgabe </w:t>
      </w:r>
      <w:r w:rsidR="00394B3A" w:rsidRPr="00FD6DC3">
        <w:rPr>
          <w:rFonts w:ascii="Cambria" w:hAnsi="Cambria"/>
          <w:b/>
          <w:sz w:val="26"/>
          <w:szCs w:val="26"/>
        </w:rPr>
        <w:t xml:space="preserve">1 </w:t>
      </w:r>
      <w:r w:rsidR="00A726E8" w:rsidRPr="00FD6DC3">
        <w:rPr>
          <w:rFonts w:ascii="Cambria" w:hAnsi="Cambria"/>
          <w:b/>
          <w:sz w:val="26"/>
          <w:szCs w:val="26"/>
        </w:rPr>
        <w:t>für besonders Schnelle:</w:t>
      </w:r>
    </w:p>
    <w:p w:rsidR="00A726E8" w:rsidRPr="00504CBF" w:rsidRDefault="00A726E8" w:rsidP="00A726E8">
      <w:pPr>
        <w:rPr>
          <w:rFonts w:asciiTheme="minorHAnsi" w:hAnsiTheme="minorHAnsi" w:cstheme="minorHAnsi"/>
          <w:sz w:val="20"/>
        </w:rPr>
      </w:pPr>
    </w:p>
    <w:p w:rsidR="00A726E8" w:rsidRPr="00FD6DC3" w:rsidRDefault="00A726E8" w:rsidP="00A726E8">
      <w:pPr>
        <w:widowControl/>
        <w:tabs>
          <w:tab w:val="left" w:pos="284"/>
        </w:tabs>
        <w:autoSpaceDE/>
        <w:autoSpaceDN/>
        <w:adjustRightInd/>
        <w:contextualSpacing/>
        <w:rPr>
          <w:rFonts w:ascii="Cambria" w:eastAsia="Calibri" w:hAnsi="Cambria"/>
          <w:sz w:val="23"/>
          <w:szCs w:val="23"/>
        </w:rPr>
      </w:pPr>
      <w:r w:rsidRPr="00FD6DC3">
        <w:rPr>
          <w:rFonts w:ascii="Cambria" w:eastAsia="Calibri" w:hAnsi="Cambria"/>
          <w:sz w:val="23"/>
          <w:szCs w:val="23"/>
        </w:rPr>
        <w:t xml:space="preserve">Entscheiden Sie jeweils, ob die Aussage zu den </w:t>
      </w:r>
      <w:proofErr w:type="spellStart"/>
      <w:r w:rsidRPr="00FD6DC3">
        <w:rPr>
          <w:rFonts w:ascii="Cambria" w:eastAsia="Calibri" w:hAnsi="Cambria"/>
          <w:sz w:val="23"/>
          <w:szCs w:val="23"/>
        </w:rPr>
        <w:t>GoB</w:t>
      </w:r>
      <w:proofErr w:type="spellEnd"/>
      <w:r w:rsidRPr="00FD6DC3">
        <w:rPr>
          <w:rFonts w:ascii="Cambria" w:eastAsia="Calibri" w:hAnsi="Cambria"/>
          <w:sz w:val="23"/>
          <w:szCs w:val="23"/>
        </w:rPr>
        <w:t xml:space="preserve"> </w:t>
      </w:r>
      <w:r w:rsidR="00AA5A2E" w:rsidRPr="00FD6DC3">
        <w:rPr>
          <w:rFonts w:ascii="Cambria" w:eastAsia="Calibri" w:hAnsi="Cambria"/>
          <w:sz w:val="23"/>
          <w:szCs w:val="23"/>
        </w:rPr>
        <w:t xml:space="preserve">(Grundsätze ordnungsmäßiger Buchführung) oder zu den gesetzlichen Aufbewahrungsfristen </w:t>
      </w:r>
      <w:r w:rsidRPr="00FD6DC3">
        <w:rPr>
          <w:rFonts w:ascii="Cambria" w:eastAsia="Calibri" w:hAnsi="Cambria"/>
          <w:sz w:val="23"/>
          <w:szCs w:val="23"/>
        </w:rPr>
        <w:t>richtig oder falsch ist. Führen Sie anschließend die jeweilige Rechenoperation durch.</w:t>
      </w:r>
    </w:p>
    <w:p w:rsidR="00A726E8" w:rsidRPr="00A06CD0" w:rsidRDefault="00A726E8" w:rsidP="00A726E8">
      <w:pPr>
        <w:rPr>
          <w:rFonts w:ascii="Cambria" w:eastAsia="Calibri" w:hAnsi="Cambria"/>
          <w:sz w:val="20"/>
          <w:szCs w:val="20"/>
        </w:rPr>
      </w:pPr>
    </w:p>
    <w:tbl>
      <w:tblPr>
        <w:tblStyle w:val="Tabellenraster"/>
        <w:tblW w:w="9889"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A0" w:firstRow="1" w:lastRow="0" w:firstColumn="1" w:lastColumn="0" w:noHBand="0" w:noVBand="1"/>
      </w:tblPr>
      <w:tblGrid>
        <w:gridCol w:w="8046"/>
        <w:gridCol w:w="921"/>
        <w:gridCol w:w="922"/>
      </w:tblGrid>
      <w:tr w:rsidR="00A726E8" w:rsidRPr="00A06CD0" w:rsidTr="00895010">
        <w:trPr>
          <w:trHeight w:val="329"/>
        </w:trPr>
        <w:tc>
          <w:tcPr>
            <w:tcW w:w="8046" w:type="dxa"/>
            <w:shd w:val="clear" w:color="auto" w:fill="EDEDED" w:themeFill="accent3" w:themeFillTint="33"/>
            <w:vAlign w:val="center"/>
          </w:tcPr>
          <w:p w:rsidR="00A726E8" w:rsidRPr="00FD6DC3" w:rsidRDefault="00AA5A2E" w:rsidP="003C6B89">
            <w:pPr>
              <w:jc w:val="center"/>
              <w:rPr>
                <w:rFonts w:ascii="Cambria" w:hAnsi="Cambria"/>
                <w:b/>
                <w:sz w:val="23"/>
                <w:szCs w:val="23"/>
              </w:rPr>
            </w:pPr>
            <w:r w:rsidRPr="00FD6DC3">
              <w:rPr>
                <w:rFonts w:ascii="Cambria" w:hAnsi="Cambria"/>
                <w:b/>
                <w:sz w:val="23"/>
                <w:szCs w:val="23"/>
              </w:rPr>
              <w:t>Aussagen</w:t>
            </w:r>
          </w:p>
        </w:tc>
        <w:tc>
          <w:tcPr>
            <w:tcW w:w="921" w:type="dxa"/>
            <w:shd w:val="clear" w:color="auto" w:fill="EDEDED" w:themeFill="accent3" w:themeFillTint="33"/>
            <w:vAlign w:val="center"/>
          </w:tcPr>
          <w:p w:rsidR="00A726E8" w:rsidRPr="00FD6DC3" w:rsidRDefault="00A726E8" w:rsidP="003C6B89">
            <w:pPr>
              <w:jc w:val="center"/>
              <w:rPr>
                <w:rFonts w:ascii="Cambria" w:hAnsi="Cambria"/>
                <w:b/>
                <w:sz w:val="23"/>
                <w:szCs w:val="23"/>
              </w:rPr>
            </w:pPr>
            <w:r w:rsidRPr="00FD6DC3">
              <w:rPr>
                <w:rFonts w:ascii="Cambria" w:hAnsi="Cambria"/>
                <w:b/>
                <w:sz w:val="23"/>
                <w:szCs w:val="23"/>
              </w:rPr>
              <w:t>richtig</w:t>
            </w:r>
          </w:p>
        </w:tc>
        <w:tc>
          <w:tcPr>
            <w:tcW w:w="922" w:type="dxa"/>
            <w:shd w:val="clear" w:color="auto" w:fill="EDEDED" w:themeFill="accent3" w:themeFillTint="33"/>
            <w:vAlign w:val="center"/>
          </w:tcPr>
          <w:p w:rsidR="00A726E8" w:rsidRPr="00FD6DC3" w:rsidRDefault="00A726E8" w:rsidP="003C6B89">
            <w:pPr>
              <w:jc w:val="center"/>
              <w:rPr>
                <w:rFonts w:ascii="Cambria" w:hAnsi="Cambria"/>
                <w:b/>
                <w:sz w:val="23"/>
                <w:szCs w:val="23"/>
              </w:rPr>
            </w:pPr>
            <w:r w:rsidRPr="00FD6DC3">
              <w:rPr>
                <w:rFonts w:ascii="Cambria" w:hAnsi="Cambria"/>
                <w:b/>
                <w:sz w:val="23"/>
                <w:szCs w:val="23"/>
              </w:rPr>
              <w:t>falsch</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Die Regeln der </w:t>
            </w:r>
            <w:proofErr w:type="spellStart"/>
            <w:r w:rsidRPr="00FD6DC3">
              <w:rPr>
                <w:rFonts w:ascii="Cambria" w:hAnsi="Cambria"/>
                <w:sz w:val="23"/>
                <w:szCs w:val="23"/>
              </w:rPr>
              <w:t>GoB</w:t>
            </w:r>
            <w:proofErr w:type="spellEnd"/>
            <w:r w:rsidRPr="00FD6DC3">
              <w:rPr>
                <w:rFonts w:ascii="Cambria" w:hAnsi="Cambria"/>
                <w:sz w:val="23"/>
                <w:szCs w:val="23"/>
              </w:rPr>
              <w:t xml:space="preserve"> sind für den Kaufmann nicht verbindlich.</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5</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10</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Ein Geschäftsfall kann nur gebucht werden, wenn der jeweilige Beleg vorliegt.</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-8</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+3</w:t>
            </w:r>
          </w:p>
        </w:tc>
      </w:tr>
      <w:tr w:rsidR="00AA5A2E" w:rsidRPr="00A06CD0" w:rsidTr="00895010">
        <w:trPr>
          <w:trHeight w:val="454"/>
        </w:trPr>
        <w:tc>
          <w:tcPr>
            <w:tcW w:w="8046" w:type="dxa"/>
            <w:vAlign w:val="center"/>
          </w:tcPr>
          <w:p w:rsidR="00AA5A2E" w:rsidRPr="00FD6DC3" w:rsidRDefault="00AA5A2E"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Die Aufbewahrungsfrist beginnt mit dem Beginn des betreffenden Kalenderjahres, in dem der Beleg entstanden ist. </w:t>
            </w:r>
          </w:p>
        </w:tc>
        <w:tc>
          <w:tcPr>
            <w:tcW w:w="921"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-2</w:t>
            </w:r>
          </w:p>
        </w:tc>
        <w:tc>
          <w:tcPr>
            <w:tcW w:w="922"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+2</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In Deutschland kann jeder Unternehmer selbst entscheiden, in welcher Sprache er Steuererklärungen und Jahresabschlüsse beim Finanzamt einreicht.</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x3</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x5</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Die Aufzeichnungen der Buchführung sind lückenlos und zeitlich geordnet zu führen.</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+6</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-2</w:t>
            </w:r>
          </w:p>
        </w:tc>
      </w:tr>
      <w:tr w:rsidR="00AA5A2E" w:rsidRPr="00A06CD0" w:rsidTr="00895010">
        <w:trPr>
          <w:trHeight w:val="454"/>
        </w:trPr>
        <w:tc>
          <w:tcPr>
            <w:tcW w:w="8046" w:type="dxa"/>
            <w:vAlign w:val="center"/>
          </w:tcPr>
          <w:p w:rsidR="00AA5A2E" w:rsidRPr="00FD6DC3" w:rsidRDefault="00AA5A2E"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Für Inventare, Eröffnungsbilanzen und Jahresabschlüsse gilt die zehnjährige Aufbewahrungsfrist. </w:t>
            </w:r>
          </w:p>
        </w:tc>
        <w:tc>
          <w:tcPr>
            <w:tcW w:w="921"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 2</w:t>
            </w:r>
          </w:p>
        </w:tc>
        <w:tc>
          <w:tcPr>
            <w:tcW w:w="922"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x2</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Fehlerhafte Eintragungen im Grundbuch sind sofort unwiderruflich zu entfernen, so dass der ursprüngliche Inhalt nicht mehr erkennbar ist. </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+7</w:t>
            </w:r>
          </w:p>
        </w:tc>
        <w:tc>
          <w:tcPr>
            <w:tcW w:w="922" w:type="dxa"/>
            <w:vAlign w:val="center"/>
          </w:tcPr>
          <w:p w:rsidR="00A726E8" w:rsidRPr="00FD6DC3" w:rsidRDefault="00A726E8" w:rsidP="00AE4F3B">
            <w:pPr>
              <w:jc w:val="center"/>
              <w:rPr>
                <w:rFonts w:ascii="Cambria" w:hAnsi="Cambria"/>
                <w:sz w:val="23"/>
                <w:szCs w:val="23"/>
              </w:rPr>
            </w:pPr>
            <w:r w:rsidRPr="00FD6DC3">
              <w:rPr>
                <w:rFonts w:ascii="Cambria" w:hAnsi="Cambria"/>
                <w:sz w:val="23"/>
                <w:szCs w:val="23"/>
              </w:rPr>
              <w:t>+</w:t>
            </w:r>
            <w:r w:rsidR="00AE4F3B" w:rsidRPr="00FD6DC3">
              <w:rPr>
                <w:rFonts w:ascii="Cambria" w:hAnsi="Cambria"/>
                <w:sz w:val="23"/>
                <w:szCs w:val="23"/>
              </w:rPr>
              <w:t>3</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Die Buchführung eines Unternehmens muss so klar und übersichtlich sein, dass jedermann in kürzester Zeit eine vollständige Übersicht erhalten kann.</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-3</w:t>
            </w:r>
          </w:p>
        </w:tc>
        <w:tc>
          <w:tcPr>
            <w:tcW w:w="922" w:type="dxa"/>
            <w:vAlign w:val="center"/>
          </w:tcPr>
          <w:p w:rsidR="00A726E8" w:rsidRPr="00FD6DC3" w:rsidRDefault="00A726E8" w:rsidP="00AE4F3B">
            <w:pPr>
              <w:jc w:val="center"/>
              <w:rPr>
                <w:rFonts w:ascii="Cambria" w:hAnsi="Cambria"/>
                <w:sz w:val="23"/>
                <w:szCs w:val="23"/>
              </w:rPr>
            </w:pPr>
            <w:r w:rsidRPr="00FD6DC3">
              <w:rPr>
                <w:rFonts w:ascii="Cambria" w:hAnsi="Cambria"/>
                <w:sz w:val="23"/>
                <w:szCs w:val="23"/>
              </w:rPr>
              <w:t>:</w:t>
            </w:r>
            <w:r w:rsidR="00AE4F3B" w:rsidRPr="00FD6DC3">
              <w:rPr>
                <w:rFonts w:ascii="Cambria" w:hAnsi="Cambria"/>
                <w:sz w:val="23"/>
                <w:szCs w:val="23"/>
              </w:rPr>
              <w:t>4</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Die Eintragungen in den Büchern sind vollständig, wahrheitsgemäß, rechtzeitig und geordnet vorzunehmen.</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+4</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x6</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Buchungen können sich auch vom ursprünglichen Inhalt der Belege unterscheiden.</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x3</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+6</w:t>
            </w:r>
          </w:p>
        </w:tc>
      </w:tr>
      <w:tr w:rsidR="00AA5A2E" w:rsidRPr="00A06CD0" w:rsidTr="00895010">
        <w:trPr>
          <w:trHeight w:val="454"/>
        </w:trPr>
        <w:tc>
          <w:tcPr>
            <w:tcW w:w="8046" w:type="dxa"/>
            <w:vAlign w:val="center"/>
          </w:tcPr>
          <w:p w:rsidR="00AA5A2E" w:rsidRPr="00FD6DC3" w:rsidRDefault="00AA5A2E"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Eingegangene Handelsbriefe müssen fünf Jahre aufbewahrt werden. </w:t>
            </w:r>
          </w:p>
        </w:tc>
        <w:tc>
          <w:tcPr>
            <w:tcW w:w="921"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-1</w:t>
            </w:r>
          </w:p>
        </w:tc>
        <w:tc>
          <w:tcPr>
            <w:tcW w:w="922" w:type="dxa"/>
            <w:vAlign w:val="center"/>
          </w:tcPr>
          <w:p w:rsidR="00AA5A2E" w:rsidRPr="00FD6DC3" w:rsidRDefault="00AE4F3B" w:rsidP="003C6B89">
            <w:pPr>
              <w:jc w:val="center"/>
              <w:rPr>
                <w:rFonts w:ascii="Cambria" w:hAnsi="Cambria"/>
                <w:sz w:val="23"/>
                <w:szCs w:val="23"/>
              </w:rPr>
            </w:pPr>
            <w:r w:rsidRPr="00FD6DC3">
              <w:rPr>
                <w:rFonts w:ascii="Cambria" w:hAnsi="Cambria"/>
                <w:sz w:val="23"/>
                <w:szCs w:val="23"/>
              </w:rPr>
              <w:t>+2</w:t>
            </w:r>
          </w:p>
        </w:tc>
      </w:tr>
      <w:tr w:rsidR="00A726E8" w:rsidRPr="00A06CD0" w:rsidTr="00895010">
        <w:trPr>
          <w:trHeight w:val="454"/>
        </w:trPr>
        <w:tc>
          <w:tcPr>
            <w:tcW w:w="8046" w:type="dxa"/>
            <w:vAlign w:val="center"/>
          </w:tcPr>
          <w:p w:rsidR="00A726E8" w:rsidRPr="00FD6DC3" w:rsidRDefault="00A726E8"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 xml:space="preserve">Für die Aufzeichnungen und Bücher gelten in Deutschland gesetzliche Vorschriften zur Aufbewahrung. </w:t>
            </w:r>
          </w:p>
        </w:tc>
        <w:tc>
          <w:tcPr>
            <w:tcW w:w="921"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:2</w:t>
            </w:r>
          </w:p>
        </w:tc>
        <w:tc>
          <w:tcPr>
            <w:tcW w:w="922" w:type="dxa"/>
            <w:vAlign w:val="center"/>
          </w:tcPr>
          <w:p w:rsidR="00A726E8" w:rsidRPr="00FD6DC3" w:rsidRDefault="00A726E8" w:rsidP="003C6B89">
            <w:pPr>
              <w:jc w:val="center"/>
              <w:rPr>
                <w:rFonts w:ascii="Cambria" w:hAnsi="Cambria"/>
                <w:sz w:val="23"/>
                <w:szCs w:val="23"/>
              </w:rPr>
            </w:pPr>
            <w:r w:rsidRPr="00FD6DC3">
              <w:rPr>
                <w:rFonts w:ascii="Cambria" w:hAnsi="Cambria"/>
                <w:sz w:val="23"/>
                <w:szCs w:val="23"/>
              </w:rPr>
              <w:t>+10</w:t>
            </w:r>
          </w:p>
        </w:tc>
      </w:tr>
      <w:tr w:rsidR="00AE4F3B" w:rsidRPr="00A06CD0" w:rsidTr="00895010">
        <w:trPr>
          <w:trHeight w:val="454"/>
        </w:trPr>
        <w:tc>
          <w:tcPr>
            <w:tcW w:w="8046" w:type="dxa"/>
            <w:vAlign w:val="center"/>
          </w:tcPr>
          <w:p w:rsidR="00AE4F3B" w:rsidRPr="00FD6DC3" w:rsidRDefault="00AE4F3B" w:rsidP="00A726E8">
            <w:pPr>
              <w:widowControl/>
              <w:numPr>
                <w:ilvl w:val="0"/>
                <w:numId w:val="3"/>
              </w:numPr>
              <w:autoSpaceDE/>
              <w:autoSpaceDN/>
              <w:adjustRightInd/>
              <w:ind w:left="426" w:hanging="426"/>
              <w:contextualSpacing/>
              <w:rPr>
                <w:rFonts w:ascii="Cambria" w:hAnsi="Cambria"/>
                <w:sz w:val="23"/>
                <w:szCs w:val="23"/>
              </w:rPr>
            </w:pPr>
            <w:r w:rsidRPr="00FD6DC3">
              <w:rPr>
                <w:rFonts w:ascii="Cambria" w:hAnsi="Cambria"/>
                <w:sz w:val="23"/>
                <w:szCs w:val="23"/>
              </w:rPr>
              <w:t>Buchungsbelege müssen zehn Jahre aufbewahrt werden.</w:t>
            </w:r>
          </w:p>
        </w:tc>
        <w:tc>
          <w:tcPr>
            <w:tcW w:w="921" w:type="dxa"/>
            <w:vAlign w:val="center"/>
          </w:tcPr>
          <w:p w:rsidR="00AE4F3B" w:rsidRPr="00FD6DC3" w:rsidRDefault="00AE4F3B" w:rsidP="003C6B89">
            <w:pPr>
              <w:jc w:val="center"/>
              <w:rPr>
                <w:rFonts w:ascii="Cambria" w:hAnsi="Cambria"/>
                <w:sz w:val="23"/>
                <w:szCs w:val="23"/>
              </w:rPr>
            </w:pPr>
            <w:r w:rsidRPr="00FD6DC3">
              <w:rPr>
                <w:rFonts w:ascii="Cambria" w:hAnsi="Cambria"/>
                <w:sz w:val="23"/>
                <w:szCs w:val="23"/>
              </w:rPr>
              <w:t xml:space="preserve">-2 </w:t>
            </w:r>
          </w:p>
        </w:tc>
        <w:tc>
          <w:tcPr>
            <w:tcW w:w="922" w:type="dxa"/>
            <w:vAlign w:val="center"/>
          </w:tcPr>
          <w:p w:rsidR="00AE4F3B" w:rsidRPr="00FD6DC3" w:rsidRDefault="00AE4F3B" w:rsidP="003C6B89">
            <w:pPr>
              <w:jc w:val="center"/>
              <w:rPr>
                <w:rFonts w:ascii="Cambria" w:hAnsi="Cambria"/>
                <w:sz w:val="23"/>
                <w:szCs w:val="23"/>
              </w:rPr>
            </w:pPr>
            <w:r w:rsidRPr="00FD6DC3">
              <w:rPr>
                <w:rFonts w:ascii="Cambria" w:hAnsi="Cambria"/>
                <w:sz w:val="23"/>
                <w:szCs w:val="23"/>
              </w:rPr>
              <w:t>+1</w:t>
            </w:r>
          </w:p>
        </w:tc>
      </w:tr>
      <w:tr w:rsidR="00A726E8" w:rsidRPr="00A06CD0" w:rsidTr="00895010">
        <w:trPr>
          <w:trHeight w:val="454"/>
        </w:trPr>
        <w:tc>
          <w:tcPr>
            <w:tcW w:w="8046" w:type="dxa"/>
            <w:vAlign w:val="center"/>
          </w:tcPr>
          <w:p w:rsidR="00A726E8" w:rsidRPr="00FD6DC3" w:rsidRDefault="00A726E8" w:rsidP="003C6B89">
            <w:pPr>
              <w:ind w:left="426"/>
              <w:contextualSpacing/>
              <w:jc w:val="right"/>
              <w:rPr>
                <w:rFonts w:ascii="Cambria" w:hAnsi="Cambria"/>
                <w:sz w:val="23"/>
                <w:szCs w:val="23"/>
              </w:rPr>
            </w:pPr>
            <w:r w:rsidRPr="00FD6DC3">
              <w:rPr>
                <w:rFonts w:ascii="Cambria" w:hAnsi="Cambria"/>
                <w:sz w:val="23"/>
                <w:szCs w:val="23"/>
              </w:rPr>
              <w:t>Ergebnis:</w:t>
            </w:r>
          </w:p>
        </w:tc>
        <w:tc>
          <w:tcPr>
            <w:tcW w:w="1843" w:type="dxa"/>
            <w:gridSpan w:val="2"/>
            <w:vAlign w:val="center"/>
          </w:tcPr>
          <w:p w:rsidR="00A726E8" w:rsidRPr="00FD6DC3" w:rsidRDefault="00A726E8" w:rsidP="003C6B89">
            <w:pPr>
              <w:jc w:val="center"/>
              <w:rPr>
                <w:rFonts w:ascii="Cambria" w:hAnsi="Cambria"/>
                <w:b/>
                <w:sz w:val="23"/>
                <w:szCs w:val="23"/>
              </w:rPr>
            </w:pPr>
          </w:p>
        </w:tc>
      </w:tr>
    </w:tbl>
    <w:p w:rsidR="00734EC3" w:rsidRDefault="00734EC3" w:rsidP="007F28C0">
      <w:pPr>
        <w:rPr>
          <w:rFonts w:asciiTheme="minorHAnsi" w:hAnsiTheme="minorHAnsi" w:cstheme="minorHAnsi"/>
        </w:rPr>
      </w:pPr>
    </w:p>
    <w:p w:rsidR="00394B3A" w:rsidRPr="00FD6DC3" w:rsidRDefault="00FD6DC3" w:rsidP="00FD6DC3">
      <w:pPr>
        <w:ind w:right="-427"/>
        <w:rPr>
          <w:rFonts w:ascii="Cambria" w:hAnsi="Cambria"/>
          <w:b/>
          <w:sz w:val="23"/>
          <w:szCs w:val="23"/>
        </w:rPr>
      </w:pPr>
      <w:r w:rsidRPr="00FD6DC3">
        <w:rPr>
          <w:rFonts w:ascii="Cambria" w:hAnsi="Cambria"/>
          <w:b/>
          <w:sz w:val="26"/>
          <w:szCs w:val="26"/>
        </w:rPr>
        <w:t>A</w:t>
      </w:r>
      <w:r w:rsidR="00394B3A" w:rsidRPr="00FD6DC3">
        <w:rPr>
          <w:rFonts w:ascii="Cambria" w:hAnsi="Cambria"/>
          <w:b/>
          <w:sz w:val="26"/>
          <w:szCs w:val="26"/>
        </w:rPr>
        <w:t>ufgabe 2 für besonders Schnelle:</w:t>
      </w:r>
      <w:r w:rsidR="00394B3A">
        <w:rPr>
          <w:rFonts w:ascii="Cambria" w:hAnsi="Cambria"/>
          <w:b/>
          <w:sz w:val="28"/>
        </w:rPr>
        <w:t xml:space="preserve"> </w:t>
      </w:r>
      <w:r w:rsidR="00394B3A" w:rsidRPr="00FD6DC3">
        <w:rPr>
          <w:rFonts w:ascii="Cambria" w:eastAsia="Calibri" w:hAnsi="Cambria"/>
          <w:sz w:val="23"/>
          <w:szCs w:val="23"/>
        </w:rPr>
        <w:t xml:space="preserve">Verbessern Sie die falschen Aussagen </w:t>
      </w:r>
      <w:r>
        <w:rPr>
          <w:rFonts w:ascii="Cambria" w:eastAsia="Calibri" w:hAnsi="Cambria"/>
          <w:sz w:val="23"/>
          <w:szCs w:val="23"/>
        </w:rPr>
        <w:t xml:space="preserve">in Aufgabe 1 </w:t>
      </w:r>
      <w:r w:rsidR="00394B3A" w:rsidRPr="00FD6DC3">
        <w:rPr>
          <w:rFonts w:ascii="Cambria" w:eastAsia="Calibri" w:hAnsi="Cambria"/>
          <w:sz w:val="23"/>
          <w:szCs w:val="23"/>
        </w:rPr>
        <w:t>und notieren Sie diese.</w:t>
      </w:r>
    </w:p>
    <w:p w:rsidR="00504CBF" w:rsidRDefault="00504CBF" w:rsidP="007F28C0">
      <w:pPr>
        <w:rPr>
          <w:rFonts w:asciiTheme="minorHAnsi" w:hAnsiTheme="minorHAnsi" w:cstheme="minorHAnsi"/>
        </w:rPr>
      </w:pPr>
    </w:p>
    <w:p w:rsidR="00FD6DC3" w:rsidRDefault="00FD6DC3" w:rsidP="00FD6DC3">
      <w:pPr>
        <w:ind w:right="-568"/>
        <w:rPr>
          <w:rFonts w:asciiTheme="minorHAnsi" w:hAnsiTheme="minorHAnsi" w:cstheme="minorHAnsi"/>
        </w:rPr>
      </w:pPr>
    </w:p>
    <w:p w:rsidR="00504CBF" w:rsidRDefault="00504CBF" w:rsidP="00504CBF">
      <w:pPr>
        <w:widowControl/>
        <w:autoSpaceDE/>
        <w:autoSpaceDN/>
        <w:adjustRightInd/>
        <w:rPr>
          <w:rFonts w:asciiTheme="minorHAnsi" w:eastAsiaTheme="minorHAnsi" w:hAnsiTheme="minorHAnsi" w:cstheme="minorBidi"/>
          <w:b/>
          <w:sz w:val="28"/>
          <w:szCs w:val="22"/>
          <w:lang w:eastAsia="en-US"/>
        </w:rPr>
      </w:pPr>
      <w:r w:rsidRPr="00F603C6">
        <w:rPr>
          <w:rFonts w:asciiTheme="minorHAnsi" w:eastAsiaTheme="minorHAnsi" w:hAnsiTheme="minorHAnsi" w:cstheme="minorBidi"/>
          <w:b/>
          <w:sz w:val="28"/>
          <w:szCs w:val="22"/>
          <w:lang w:eastAsia="en-US"/>
        </w:rPr>
        <w:t>Interaktive Übung zum Text- bzw. Paragrafenverständnis:</w:t>
      </w:r>
    </w:p>
    <w:p w:rsidR="00504CBF" w:rsidRPr="00FD6DC3" w:rsidRDefault="00504CBF" w:rsidP="00504CBF">
      <w:pPr>
        <w:tabs>
          <w:tab w:val="left" w:pos="8868"/>
        </w:tabs>
        <w:rPr>
          <w:sz w:val="8"/>
        </w:rPr>
      </w:pPr>
    </w:p>
    <w:p w:rsidR="00F4696E" w:rsidRDefault="00F4696E" w:rsidP="00504CBF">
      <w:pPr>
        <w:rPr>
          <w:rFonts w:asciiTheme="minorHAnsi" w:hAnsiTheme="minorHAnsi" w:cstheme="minorHAnsi"/>
        </w:rPr>
      </w:pPr>
      <w:r w:rsidRPr="00A726E8">
        <w:rPr>
          <w:rFonts w:asciiTheme="minorHAnsi" w:hAnsiTheme="minorHAnsi" w:cstheme="minorHAnsi"/>
          <w:noProof/>
        </w:rPr>
        <w:drawing>
          <wp:anchor distT="0" distB="0" distL="114300" distR="114300" simplePos="0" relativeHeight="251666432" behindDoc="1" locked="0" layoutInCell="1" allowOverlap="1" wp14:anchorId="514185DB" wp14:editId="59B9102D">
            <wp:simplePos x="0" y="0"/>
            <wp:positionH relativeFrom="column">
              <wp:posOffset>-87630</wp:posOffset>
            </wp:positionH>
            <wp:positionV relativeFrom="paragraph">
              <wp:posOffset>147955</wp:posOffset>
            </wp:positionV>
            <wp:extent cx="1303020" cy="1303020"/>
            <wp:effectExtent l="0" t="0" r="0" b="0"/>
            <wp:wrapTight wrapText="bothSides">
              <wp:wrapPolygon edited="0">
                <wp:start x="0" y="0"/>
                <wp:lineTo x="0" y="21158"/>
                <wp:lineTo x="21158" y="21158"/>
                <wp:lineTo x="21158" y="0"/>
                <wp:lineTo x="0" y="0"/>
              </wp:wrapPolygon>
            </wp:wrapTight>
            <wp:docPr id="6" name="Grafik 6" descr="C:\Users\susan\Downloads\fram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frame(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3020" cy="13030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4CBF" w:rsidRDefault="00EB467E" w:rsidP="00504CBF">
      <w:pPr>
        <w:rPr>
          <w:rFonts w:asciiTheme="minorHAnsi" w:hAnsiTheme="minorHAnsi" w:cstheme="minorHAnsi"/>
        </w:rPr>
      </w:pPr>
      <w:hyperlink r:id="rId9" w:history="1">
        <w:r w:rsidR="00985237" w:rsidRPr="00CF706D">
          <w:rPr>
            <w:rStyle w:val="Hyperlink"/>
            <w:rFonts w:asciiTheme="minorHAnsi" w:hAnsiTheme="minorHAnsi" w:cstheme="minorHAnsi"/>
          </w:rPr>
          <w:t>www.schule-bw.de/faecher-und-schularten/berufliche-bildung/wirtschaft/unterrichtsentwuerfe-und-materialien/rechnungswesen/buchfuehrung/index-3.html</w:t>
        </w:r>
      </w:hyperlink>
      <w:r w:rsidR="00985237">
        <w:rPr>
          <w:rFonts w:asciiTheme="minorHAnsi" w:hAnsiTheme="minorHAnsi" w:cstheme="minorHAnsi"/>
        </w:rPr>
        <w:t xml:space="preserve"> </w:t>
      </w:r>
    </w:p>
    <w:p w:rsidR="00504CBF" w:rsidRDefault="00504CBF" w:rsidP="00504CBF">
      <w:pPr>
        <w:rPr>
          <w:rFonts w:asciiTheme="minorHAnsi" w:hAnsiTheme="minorHAnsi" w:cstheme="minorHAnsi"/>
        </w:rPr>
      </w:pPr>
    </w:p>
    <w:p w:rsidR="00504CBF" w:rsidRDefault="00504CBF" w:rsidP="00504CBF">
      <w:pPr>
        <w:rPr>
          <w:rFonts w:asciiTheme="minorHAnsi" w:hAnsiTheme="minorHAnsi" w:cstheme="minorHAnsi"/>
        </w:rPr>
      </w:pPr>
    </w:p>
    <w:p w:rsidR="00504CBF" w:rsidRDefault="00504CBF" w:rsidP="00504CBF">
      <w:pPr>
        <w:rPr>
          <w:rFonts w:asciiTheme="minorHAnsi" w:hAnsiTheme="minorHAnsi" w:cstheme="minorHAnsi"/>
        </w:rPr>
      </w:pPr>
    </w:p>
    <w:p w:rsidR="00394B3A" w:rsidRPr="00504CBF" w:rsidRDefault="00394B3A" w:rsidP="00504CBF">
      <w:pPr>
        <w:rPr>
          <w:rFonts w:asciiTheme="minorHAnsi" w:hAnsiTheme="minorHAnsi" w:cstheme="minorHAnsi"/>
        </w:rPr>
      </w:pPr>
    </w:p>
    <w:sectPr w:rsidR="00394B3A" w:rsidRPr="00504CBF" w:rsidSect="00504CBF">
      <w:headerReference w:type="default" r:id="rId10"/>
      <w:footerReference w:type="default" r:id="rId11"/>
      <w:pgSz w:w="11906" w:h="16838"/>
      <w:pgMar w:top="964" w:right="1134" w:bottom="397"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67E" w:rsidRDefault="00EB467E" w:rsidP="00C1787D">
      <w:r>
        <w:separator/>
      </w:r>
    </w:p>
  </w:endnote>
  <w:endnote w:type="continuationSeparator" w:id="0">
    <w:p w:rsidR="00EB467E" w:rsidRDefault="00EB467E"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985237" w:rsidP="00E07573">
    <w:pPr>
      <w:pStyle w:val="Fuzeile"/>
      <w:tabs>
        <w:tab w:val="clear" w:pos="4536"/>
        <w:tab w:val="clear" w:pos="9072"/>
        <w:tab w:val="left" w:pos="6120"/>
      </w:tabs>
      <w:jc w:val="right"/>
    </w:pPr>
    <w:r>
      <w:rPr>
        <w:noProof/>
      </w:rPr>
      <w:drawing>
        <wp:anchor distT="0" distB="0" distL="114300" distR="114300" simplePos="0" relativeHeight="251659264" behindDoc="1" locked="0" layoutInCell="1" allowOverlap="1" wp14:anchorId="253AAB28" wp14:editId="56C4F32C">
          <wp:simplePos x="0" y="0"/>
          <wp:positionH relativeFrom="column">
            <wp:posOffset>-99060</wp:posOffset>
          </wp:positionH>
          <wp:positionV relativeFrom="paragraph">
            <wp:posOffset>-220980</wp:posOffset>
          </wp:positionV>
          <wp:extent cx="1447800" cy="467995"/>
          <wp:effectExtent l="0" t="0" r="0" b="8255"/>
          <wp:wrapTight wrapText="bothSides">
            <wp:wrapPolygon edited="0">
              <wp:start x="0" y="0"/>
              <wp:lineTo x="0" y="21102"/>
              <wp:lineTo x="21316" y="21102"/>
              <wp:lineTo x="21316" y="0"/>
              <wp:lineTo x="0" y="0"/>
            </wp:wrapPolygon>
          </wp:wrapTight>
          <wp:docPr id="4" name="Grafik 4"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67E" w:rsidRDefault="00EB467E" w:rsidP="00C1787D">
      <w:r>
        <w:separator/>
      </w:r>
    </w:p>
  </w:footnote>
  <w:footnote w:type="continuationSeparator" w:id="0">
    <w:p w:rsidR="00EB467E" w:rsidRDefault="00EB467E"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2443356"/>
      <w:docPartObj>
        <w:docPartGallery w:val="Page Numbers (Top of Page)"/>
        <w:docPartUnique/>
      </w:docPartObj>
    </w:sdtPr>
    <w:sdtEndPr>
      <w:rPr>
        <w:rFonts w:asciiTheme="minorHAnsi" w:hAnsiTheme="minorHAnsi" w:cstheme="minorHAnsi"/>
        <w:sz w:val="22"/>
      </w:rPr>
    </w:sdtEndPr>
    <w:sdtContent>
      <w:p w:rsidR="00C1787D" w:rsidRPr="00C1787D" w:rsidRDefault="00C1787D" w:rsidP="00C1787D">
        <w:pPr>
          <w:pStyle w:val="Kopfzeile"/>
          <w:tabs>
            <w:tab w:val="clear" w:pos="9072"/>
            <w:tab w:val="right" w:pos="9638"/>
          </w:tabs>
          <w:rPr>
            <w:rFonts w:asciiTheme="minorHAnsi" w:hAnsiTheme="minorHAnsi" w:cstheme="minorHAnsi"/>
            <w:sz w:val="22"/>
            <w:u w:val="single"/>
          </w:rPr>
        </w:pPr>
        <w:r w:rsidRPr="00C1787D">
          <w:rPr>
            <w:rFonts w:asciiTheme="minorHAnsi" w:hAnsiTheme="minorHAnsi" w:cstheme="minorHAnsi"/>
            <w:sz w:val="22"/>
            <w:u w:val="single"/>
          </w:rPr>
          <w:t xml:space="preserve">WBM </w:t>
        </w:r>
        <w:r w:rsidRPr="00C1787D">
          <w:rPr>
            <w:u w:val="single"/>
          </w:rPr>
          <w:tab/>
        </w:r>
        <w:r w:rsidRPr="00C1787D">
          <w:rPr>
            <w:u w:val="single"/>
          </w:rPr>
          <w:tab/>
        </w:r>
        <w:r w:rsidRPr="00C1787D">
          <w:rPr>
            <w:rFonts w:asciiTheme="minorHAnsi" w:hAnsiTheme="minorHAnsi" w:cstheme="minorHAnsi"/>
            <w:sz w:val="22"/>
            <w:u w:val="single"/>
          </w:rPr>
          <w:t xml:space="preserve">Seite </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PAGE</w:instrText>
        </w:r>
        <w:r w:rsidRPr="00C1787D">
          <w:rPr>
            <w:rFonts w:asciiTheme="minorHAnsi" w:hAnsiTheme="minorHAnsi" w:cstheme="minorHAnsi"/>
            <w:bCs/>
            <w:sz w:val="22"/>
            <w:u w:val="single"/>
          </w:rPr>
          <w:fldChar w:fldCharType="separate"/>
        </w:r>
        <w:r w:rsidR="00755B6E">
          <w:rPr>
            <w:rFonts w:asciiTheme="minorHAnsi" w:hAnsiTheme="minorHAnsi" w:cstheme="minorHAnsi"/>
            <w:bCs/>
            <w:noProof/>
            <w:sz w:val="22"/>
            <w:u w:val="single"/>
          </w:rPr>
          <w:t>4</w:t>
        </w:r>
        <w:r w:rsidRPr="00C1787D">
          <w:rPr>
            <w:rFonts w:asciiTheme="minorHAnsi" w:hAnsiTheme="minorHAnsi" w:cstheme="minorHAnsi"/>
            <w:bCs/>
            <w:sz w:val="22"/>
            <w:u w:val="single"/>
          </w:rPr>
          <w:fldChar w:fldCharType="end"/>
        </w:r>
        <w:r w:rsidRPr="00C1787D">
          <w:rPr>
            <w:rFonts w:asciiTheme="minorHAnsi" w:hAnsiTheme="minorHAnsi" w:cstheme="minorHAnsi"/>
            <w:bCs/>
            <w:sz w:val="22"/>
            <w:u w:val="single"/>
          </w:rPr>
          <w:t>/</w:t>
        </w:r>
        <w:r w:rsidRPr="00C1787D">
          <w:rPr>
            <w:rFonts w:asciiTheme="minorHAnsi" w:hAnsiTheme="minorHAnsi" w:cstheme="minorHAnsi"/>
            <w:bCs/>
            <w:sz w:val="22"/>
            <w:u w:val="single"/>
          </w:rPr>
          <w:fldChar w:fldCharType="begin"/>
        </w:r>
        <w:r w:rsidRPr="00C1787D">
          <w:rPr>
            <w:rFonts w:asciiTheme="minorHAnsi" w:hAnsiTheme="minorHAnsi" w:cstheme="minorHAnsi"/>
            <w:bCs/>
            <w:sz w:val="22"/>
            <w:u w:val="single"/>
          </w:rPr>
          <w:instrText>NUMPAGES</w:instrText>
        </w:r>
        <w:r w:rsidRPr="00C1787D">
          <w:rPr>
            <w:rFonts w:asciiTheme="minorHAnsi" w:hAnsiTheme="minorHAnsi" w:cstheme="minorHAnsi"/>
            <w:bCs/>
            <w:sz w:val="22"/>
            <w:u w:val="single"/>
          </w:rPr>
          <w:fldChar w:fldCharType="separate"/>
        </w:r>
        <w:r w:rsidR="00755B6E">
          <w:rPr>
            <w:rFonts w:asciiTheme="minorHAnsi" w:hAnsiTheme="minorHAnsi" w:cstheme="minorHAnsi"/>
            <w:bCs/>
            <w:noProof/>
            <w:sz w:val="22"/>
            <w:u w:val="single"/>
          </w:rPr>
          <w:t>6</w:t>
        </w:r>
        <w:r w:rsidRPr="00C1787D">
          <w:rPr>
            <w:rFonts w:asciiTheme="minorHAnsi" w:hAnsiTheme="minorHAnsi" w:cstheme="minorHAnsi"/>
            <w:bCs/>
            <w:sz w:val="22"/>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60677"/>
    <w:multiLevelType w:val="hybridMultilevel"/>
    <w:tmpl w:val="46AA7EB0"/>
    <w:lvl w:ilvl="0" w:tplc="3EB03038">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820E0B"/>
    <w:multiLevelType w:val="hybridMultilevel"/>
    <w:tmpl w:val="074C2A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874B3D"/>
    <w:multiLevelType w:val="hybridMultilevel"/>
    <w:tmpl w:val="8B48CC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74717CF"/>
    <w:multiLevelType w:val="hybridMultilevel"/>
    <w:tmpl w:val="04C8D5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35CEF"/>
    <w:rsid w:val="00092435"/>
    <w:rsid w:val="000A2CA8"/>
    <w:rsid w:val="000D2999"/>
    <w:rsid w:val="00105B79"/>
    <w:rsid w:val="00142DB9"/>
    <w:rsid w:val="001A0372"/>
    <w:rsid w:val="00206306"/>
    <w:rsid w:val="00234065"/>
    <w:rsid w:val="0025640C"/>
    <w:rsid w:val="0027178B"/>
    <w:rsid w:val="00284C4B"/>
    <w:rsid w:val="00296F75"/>
    <w:rsid w:val="002E0F9C"/>
    <w:rsid w:val="002F6AD2"/>
    <w:rsid w:val="00394B3A"/>
    <w:rsid w:val="003E008E"/>
    <w:rsid w:val="00424BD7"/>
    <w:rsid w:val="00425A63"/>
    <w:rsid w:val="0042621C"/>
    <w:rsid w:val="00504CBF"/>
    <w:rsid w:val="00535BEE"/>
    <w:rsid w:val="00577EFF"/>
    <w:rsid w:val="0059126E"/>
    <w:rsid w:val="005C2C84"/>
    <w:rsid w:val="005F450B"/>
    <w:rsid w:val="00626D6A"/>
    <w:rsid w:val="00634655"/>
    <w:rsid w:val="00653DB8"/>
    <w:rsid w:val="00655B8F"/>
    <w:rsid w:val="006D1132"/>
    <w:rsid w:val="006E22C6"/>
    <w:rsid w:val="00734EC3"/>
    <w:rsid w:val="00755B6E"/>
    <w:rsid w:val="007628CF"/>
    <w:rsid w:val="007F28C0"/>
    <w:rsid w:val="0081419C"/>
    <w:rsid w:val="00847628"/>
    <w:rsid w:val="0087524D"/>
    <w:rsid w:val="00895010"/>
    <w:rsid w:val="008C2F76"/>
    <w:rsid w:val="008C6695"/>
    <w:rsid w:val="00905B73"/>
    <w:rsid w:val="00906AEA"/>
    <w:rsid w:val="00913AB0"/>
    <w:rsid w:val="00981B54"/>
    <w:rsid w:val="00985237"/>
    <w:rsid w:val="0099250C"/>
    <w:rsid w:val="009B391C"/>
    <w:rsid w:val="00A07C56"/>
    <w:rsid w:val="00A22DCE"/>
    <w:rsid w:val="00A41F7F"/>
    <w:rsid w:val="00A726E8"/>
    <w:rsid w:val="00A91F76"/>
    <w:rsid w:val="00A945C2"/>
    <w:rsid w:val="00AA5A2E"/>
    <w:rsid w:val="00AC58DB"/>
    <w:rsid w:val="00AE4F3B"/>
    <w:rsid w:val="00B235E5"/>
    <w:rsid w:val="00B6672D"/>
    <w:rsid w:val="00B91660"/>
    <w:rsid w:val="00BD2A39"/>
    <w:rsid w:val="00BF6D35"/>
    <w:rsid w:val="00C1787D"/>
    <w:rsid w:val="00D1619C"/>
    <w:rsid w:val="00D47834"/>
    <w:rsid w:val="00DC4D4F"/>
    <w:rsid w:val="00DD5589"/>
    <w:rsid w:val="00E07573"/>
    <w:rsid w:val="00E354A7"/>
    <w:rsid w:val="00EB467E"/>
    <w:rsid w:val="00F4696E"/>
    <w:rsid w:val="00F603C6"/>
    <w:rsid w:val="00F92BFD"/>
    <w:rsid w:val="00FA4DBB"/>
    <w:rsid w:val="00FB6ED9"/>
    <w:rsid w:val="00FC633F"/>
    <w:rsid w:val="00FD6D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7AF24"/>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paragraph" w:styleId="berschrift1">
    <w:name w:val="heading 1"/>
    <w:basedOn w:val="Standard"/>
    <w:link w:val="berschrift1Zchn"/>
    <w:uiPriority w:val="9"/>
    <w:qFormat/>
    <w:rsid w:val="00424BD7"/>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5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character" w:customStyle="1" w:styleId="berschrift1Zchn">
    <w:name w:val="Überschrift 1 Zchn"/>
    <w:basedOn w:val="Absatz-Standardschriftart"/>
    <w:link w:val="berschrift1"/>
    <w:uiPriority w:val="9"/>
    <w:rsid w:val="00424BD7"/>
    <w:rPr>
      <w:rFonts w:ascii="Times New Roman" w:eastAsia="Times New Roman" w:hAnsi="Times New Roman" w:cs="Times New Roman"/>
      <w:b/>
      <w:bCs/>
      <w:kern w:val="36"/>
      <w:sz w:val="48"/>
      <w:szCs w:val="48"/>
      <w:lang w:eastAsia="de-DE"/>
    </w:rPr>
  </w:style>
  <w:style w:type="character" w:customStyle="1" w:styleId="jnenbez">
    <w:name w:val="jnenbez"/>
    <w:basedOn w:val="Absatz-Standardschriftart"/>
    <w:rsid w:val="00424BD7"/>
  </w:style>
  <w:style w:type="character" w:customStyle="1" w:styleId="jnentitel">
    <w:name w:val="jnentitel"/>
    <w:basedOn w:val="Absatz-Standardschriftart"/>
    <w:rsid w:val="00424BD7"/>
  </w:style>
  <w:style w:type="table" w:customStyle="1" w:styleId="Tabellenraster1">
    <w:name w:val="Tabellenraster1"/>
    <w:basedOn w:val="NormaleTabelle"/>
    <w:next w:val="Tabellenraster"/>
    <w:uiPriority w:val="39"/>
    <w:rsid w:val="00A9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DC4D4F"/>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76007">
      <w:bodyDiv w:val="1"/>
      <w:marLeft w:val="0"/>
      <w:marRight w:val="0"/>
      <w:marTop w:val="0"/>
      <w:marBottom w:val="0"/>
      <w:divBdr>
        <w:top w:val="none" w:sz="0" w:space="0" w:color="auto"/>
        <w:left w:val="none" w:sz="0" w:space="0" w:color="auto"/>
        <w:bottom w:val="none" w:sz="0" w:space="0" w:color="auto"/>
        <w:right w:val="none" w:sz="0" w:space="0" w:color="auto"/>
      </w:divBdr>
      <w:divsChild>
        <w:div w:id="1719277887">
          <w:marLeft w:val="0"/>
          <w:marRight w:val="0"/>
          <w:marTop w:val="0"/>
          <w:marBottom w:val="0"/>
          <w:divBdr>
            <w:top w:val="none" w:sz="0" w:space="0" w:color="auto"/>
            <w:left w:val="none" w:sz="0" w:space="0" w:color="auto"/>
            <w:bottom w:val="none" w:sz="0" w:space="0" w:color="auto"/>
            <w:right w:val="none" w:sz="0" w:space="0" w:color="auto"/>
          </w:divBdr>
        </w:div>
        <w:div w:id="406851894">
          <w:marLeft w:val="0"/>
          <w:marRight w:val="0"/>
          <w:marTop w:val="0"/>
          <w:marBottom w:val="0"/>
          <w:divBdr>
            <w:top w:val="none" w:sz="0" w:space="0" w:color="auto"/>
            <w:left w:val="none" w:sz="0" w:space="0" w:color="auto"/>
            <w:bottom w:val="none" w:sz="0" w:space="0" w:color="auto"/>
            <w:right w:val="none" w:sz="0" w:space="0" w:color="auto"/>
          </w:divBdr>
          <w:divsChild>
            <w:div w:id="1118111592">
              <w:marLeft w:val="0"/>
              <w:marRight w:val="0"/>
              <w:marTop w:val="0"/>
              <w:marBottom w:val="0"/>
              <w:divBdr>
                <w:top w:val="none" w:sz="0" w:space="0" w:color="auto"/>
                <w:left w:val="none" w:sz="0" w:space="0" w:color="auto"/>
                <w:bottom w:val="none" w:sz="0" w:space="0" w:color="auto"/>
                <w:right w:val="none" w:sz="0" w:space="0" w:color="auto"/>
              </w:divBdr>
              <w:divsChild>
                <w:div w:id="1308706289">
                  <w:marLeft w:val="0"/>
                  <w:marRight w:val="0"/>
                  <w:marTop w:val="0"/>
                  <w:marBottom w:val="0"/>
                  <w:divBdr>
                    <w:top w:val="none" w:sz="0" w:space="0" w:color="auto"/>
                    <w:left w:val="none" w:sz="0" w:space="0" w:color="auto"/>
                    <w:bottom w:val="none" w:sz="0" w:space="0" w:color="auto"/>
                    <w:right w:val="none" w:sz="0" w:space="0" w:color="auto"/>
                  </w:divBdr>
                  <w:divsChild>
                    <w:div w:id="1544101721">
                      <w:marLeft w:val="0"/>
                      <w:marRight w:val="0"/>
                      <w:marTop w:val="0"/>
                      <w:marBottom w:val="0"/>
                      <w:divBdr>
                        <w:top w:val="none" w:sz="0" w:space="0" w:color="auto"/>
                        <w:left w:val="none" w:sz="0" w:space="0" w:color="auto"/>
                        <w:bottom w:val="none" w:sz="0" w:space="0" w:color="auto"/>
                        <w:right w:val="none" w:sz="0" w:space="0" w:color="auto"/>
                      </w:divBdr>
                      <w:divsChild>
                        <w:div w:id="430008269">
                          <w:marLeft w:val="0"/>
                          <w:marRight w:val="0"/>
                          <w:marTop w:val="0"/>
                          <w:marBottom w:val="0"/>
                          <w:divBdr>
                            <w:top w:val="none" w:sz="0" w:space="0" w:color="auto"/>
                            <w:left w:val="none" w:sz="0" w:space="0" w:color="auto"/>
                            <w:bottom w:val="none" w:sz="0" w:space="0" w:color="auto"/>
                            <w:right w:val="none" w:sz="0" w:space="0" w:color="auto"/>
                          </w:divBdr>
                        </w:div>
                        <w:div w:id="1469475919">
                          <w:marLeft w:val="0"/>
                          <w:marRight w:val="0"/>
                          <w:marTop w:val="0"/>
                          <w:marBottom w:val="0"/>
                          <w:divBdr>
                            <w:top w:val="none" w:sz="0" w:space="0" w:color="auto"/>
                            <w:left w:val="none" w:sz="0" w:space="0" w:color="auto"/>
                            <w:bottom w:val="none" w:sz="0" w:space="0" w:color="auto"/>
                            <w:right w:val="none" w:sz="0" w:space="0" w:color="auto"/>
                          </w:divBdr>
                        </w:div>
                        <w:div w:id="1049381889">
                          <w:marLeft w:val="0"/>
                          <w:marRight w:val="0"/>
                          <w:marTop w:val="0"/>
                          <w:marBottom w:val="0"/>
                          <w:divBdr>
                            <w:top w:val="none" w:sz="0" w:space="0" w:color="auto"/>
                            <w:left w:val="none" w:sz="0" w:space="0" w:color="auto"/>
                            <w:bottom w:val="none" w:sz="0" w:space="0" w:color="auto"/>
                            <w:right w:val="none" w:sz="0" w:space="0" w:color="auto"/>
                          </w:divBdr>
                        </w:div>
                        <w:div w:id="1515414882">
                          <w:marLeft w:val="0"/>
                          <w:marRight w:val="0"/>
                          <w:marTop w:val="0"/>
                          <w:marBottom w:val="0"/>
                          <w:divBdr>
                            <w:top w:val="none" w:sz="0" w:space="0" w:color="auto"/>
                            <w:left w:val="none" w:sz="0" w:space="0" w:color="auto"/>
                            <w:bottom w:val="none" w:sz="0" w:space="0" w:color="auto"/>
                            <w:right w:val="none" w:sz="0" w:space="0" w:color="auto"/>
                          </w:divBdr>
                        </w:div>
                        <w:div w:id="211773446">
                          <w:marLeft w:val="0"/>
                          <w:marRight w:val="0"/>
                          <w:marTop w:val="0"/>
                          <w:marBottom w:val="0"/>
                          <w:divBdr>
                            <w:top w:val="none" w:sz="0" w:space="0" w:color="auto"/>
                            <w:left w:val="none" w:sz="0" w:space="0" w:color="auto"/>
                            <w:bottom w:val="none" w:sz="0" w:space="0" w:color="auto"/>
                            <w:right w:val="none" w:sz="0" w:space="0" w:color="auto"/>
                          </w:divBdr>
                        </w:div>
                        <w:div w:id="1678968758">
                          <w:marLeft w:val="0"/>
                          <w:marRight w:val="0"/>
                          <w:marTop w:val="0"/>
                          <w:marBottom w:val="0"/>
                          <w:divBdr>
                            <w:top w:val="none" w:sz="0" w:space="0" w:color="auto"/>
                            <w:left w:val="none" w:sz="0" w:space="0" w:color="auto"/>
                            <w:bottom w:val="none" w:sz="0" w:space="0" w:color="auto"/>
                            <w:right w:val="none" w:sz="0" w:space="0" w:color="auto"/>
                          </w:divBdr>
                        </w:div>
                      </w:divsChild>
                    </w:div>
                    <w:div w:id="1991861861">
                      <w:marLeft w:val="0"/>
                      <w:marRight w:val="0"/>
                      <w:marTop w:val="0"/>
                      <w:marBottom w:val="0"/>
                      <w:divBdr>
                        <w:top w:val="none" w:sz="0" w:space="0" w:color="auto"/>
                        <w:left w:val="none" w:sz="0" w:space="0" w:color="auto"/>
                        <w:bottom w:val="none" w:sz="0" w:space="0" w:color="auto"/>
                        <w:right w:val="none" w:sz="0" w:space="0" w:color="auto"/>
                      </w:divBdr>
                      <w:divsChild>
                        <w:div w:id="726223540">
                          <w:marLeft w:val="0"/>
                          <w:marRight w:val="0"/>
                          <w:marTop w:val="0"/>
                          <w:marBottom w:val="0"/>
                          <w:divBdr>
                            <w:top w:val="none" w:sz="0" w:space="0" w:color="auto"/>
                            <w:left w:val="none" w:sz="0" w:space="0" w:color="auto"/>
                            <w:bottom w:val="none" w:sz="0" w:space="0" w:color="auto"/>
                            <w:right w:val="none" w:sz="0" w:space="0" w:color="auto"/>
                          </w:divBdr>
                        </w:div>
                        <w:div w:id="87580708">
                          <w:marLeft w:val="0"/>
                          <w:marRight w:val="0"/>
                          <w:marTop w:val="0"/>
                          <w:marBottom w:val="0"/>
                          <w:divBdr>
                            <w:top w:val="none" w:sz="0" w:space="0" w:color="auto"/>
                            <w:left w:val="none" w:sz="0" w:space="0" w:color="auto"/>
                            <w:bottom w:val="none" w:sz="0" w:space="0" w:color="auto"/>
                            <w:right w:val="none" w:sz="0" w:space="0" w:color="auto"/>
                          </w:divBdr>
                        </w:div>
                      </w:divsChild>
                    </w:div>
                    <w:div w:id="1261254217">
                      <w:marLeft w:val="0"/>
                      <w:marRight w:val="0"/>
                      <w:marTop w:val="0"/>
                      <w:marBottom w:val="0"/>
                      <w:divBdr>
                        <w:top w:val="none" w:sz="0" w:space="0" w:color="auto"/>
                        <w:left w:val="none" w:sz="0" w:space="0" w:color="auto"/>
                        <w:bottom w:val="none" w:sz="0" w:space="0" w:color="auto"/>
                        <w:right w:val="none" w:sz="0" w:space="0" w:color="auto"/>
                      </w:divBdr>
                    </w:div>
                    <w:div w:id="721563730">
                      <w:marLeft w:val="0"/>
                      <w:marRight w:val="0"/>
                      <w:marTop w:val="0"/>
                      <w:marBottom w:val="0"/>
                      <w:divBdr>
                        <w:top w:val="none" w:sz="0" w:space="0" w:color="auto"/>
                        <w:left w:val="none" w:sz="0" w:space="0" w:color="auto"/>
                        <w:bottom w:val="none" w:sz="0" w:space="0" w:color="auto"/>
                        <w:right w:val="none" w:sz="0" w:space="0" w:color="auto"/>
                      </w:divBdr>
                    </w:div>
                    <w:div w:id="1312365419">
                      <w:marLeft w:val="0"/>
                      <w:marRight w:val="0"/>
                      <w:marTop w:val="0"/>
                      <w:marBottom w:val="0"/>
                      <w:divBdr>
                        <w:top w:val="none" w:sz="0" w:space="0" w:color="auto"/>
                        <w:left w:val="none" w:sz="0" w:space="0" w:color="auto"/>
                        <w:bottom w:val="none" w:sz="0" w:space="0" w:color="auto"/>
                        <w:right w:val="none" w:sz="0" w:space="0" w:color="auto"/>
                      </w:divBdr>
                    </w:div>
                    <w:div w:id="1282692117">
                      <w:marLeft w:val="0"/>
                      <w:marRight w:val="0"/>
                      <w:marTop w:val="0"/>
                      <w:marBottom w:val="0"/>
                      <w:divBdr>
                        <w:top w:val="none" w:sz="0" w:space="0" w:color="auto"/>
                        <w:left w:val="none" w:sz="0" w:space="0" w:color="auto"/>
                        <w:bottom w:val="none" w:sz="0" w:space="0" w:color="auto"/>
                        <w:right w:val="none" w:sz="0" w:space="0" w:color="auto"/>
                      </w:divBdr>
                      <w:divsChild>
                        <w:div w:id="1943797881">
                          <w:marLeft w:val="0"/>
                          <w:marRight w:val="0"/>
                          <w:marTop w:val="0"/>
                          <w:marBottom w:val="0"/>
                          <w:divBdr>
                            <w:top w:val="none" w:sz="0" w:space="0" w:color="auto"/>
                            <w:left w:val="none" w:sz="0" w:space="0" w:color="auto"/>
                            <w:bottom w:val="none" w:sz="0" w:space="0" w:color="auto"/>
                            <w:right w:val="none" w:sz="0" w:space="0" w:color="auto"/>
                          </w:divBdr>
                        </w:div>
                        <w:div w:id="632174422">
                          <w:marLeft w:val="0"/>
                          <w:marRight w:val="0"/>
                          <w:marTop w:val="0"/>
                          <w:marBottom w:val="0"/>
                          <w:divBdr>
                            <w:top w:val="none" w:sz="0" w:space="0" w:color="auto"/>
                            <w:left w:val="none" w:sz="0" w:space="0" w:color="auto"/>
                            <w:bottom w:val="none" w:sz="0" w:space="0" w:color="auto"/>
                            <w:right w:val="none" w:sz="0" w:space="0" w:color="auto"/>
                          </w:divBdr>
                        </w:div>
                        <w:div w:id="18250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ule-bw.de/faecher-und-schularten/berufliche-bildung/wirtschaft/unterrichtsentwuerfe-und-materialien/rechnungswesen/buchfuehrung/index-3.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1B3BF-197A-4DCB-866E-6776A245F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1630</Words>
  <Characters>10273</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5</cp:revision>
  <cp:lastPrinted>2019-10-30T07:41:00Z</cp:lastPrinted>
  <dcterms:created xsi:type="dcterms:W3CDTF">2018-05-25T09:22:00Z</dcterms:created>
  <dcterms:modified xsi:type="dcterms:W3CDTF">2019-10-30T07:41:00Z</dcterms:modified>
</cp:coreProperties>
</file>