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8A3458">
      <w:pPr>
        <w:spacing w:before="200" w:after="240"/>
        <w:ind w:left="1276" w:hanging="1276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AF0010">
        <w:rPr>
          <w:rFonts w:ascii="Arial" w:hAnsi="Arial" w:cs="Arial"/>
          <w:b/>
          <w:sz w:val="28"/>
          <w:szCs w:val="28"/>
        </w:rPr>
        <w:t>2</w:t>
      </w:r>
      <w:r w:rsidR="00AD07D9">
        <w:rPr>
          <w:rFonts w:ascii="Arial" w:hAnsi="Arial" w:cs="Arial"/>
          <w:b/>
          <w:sz w:val="28"/>
          <w:szCs w:val="28"/>
        </w:rPr>
        <w:t>.2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8D219F">
        <w:rPr>
          <w:rFonts w:ascii="Arial" w:hAnsi="Arial" w:cs="Arial"/>
          <w:b/>
          <w:sz w:val="28"/>
          <w:szCs w:val="28"/>
        </w:rPr>
        <w:t>Logische Operatoren</w:t>
      </w:r>
      <w:r w:rsidR="00AD07D9">
        <w:rPr>
          <w:rFonts w:ascii="Arial" w:hAnsi="Arial" w:cs="Arial"/>
          <w:b/>
          <w:sz w:val="28"/>
          <w:szCs w:val="28"/>
        </w:rPr>
        <w:t xml:space="preserve">: UND-Operator </w:t>
      </w:r>
      <w:r w:rsidR="00DB1C01">
        <w:rPr>
          <w:rFonts w:ascii="Arial" w:hAnsi="Arial" w:cs="Arial"/>
          <w:b/>
          <w:sz w:val="28"/>
          <w:szCs w:val="28"/>
        </w:rPr>
        <w:t xml:space="preserve"> -</w:t>
      </w:r>
      <w:r w:rsidR="00AD07D9">
        <w:rPr>
          <w:rFonts w:ascii="Arial" w:hAnsi="Arial" w:cs="Arial"/>
          <w:b/>
          <w:sz w:val="28"/>
          <w:szCs w:val="28"/>
        </w:rPr>
        <w:t xml:space="preserve"> </w:t>
      </w:r>
      <w:r w:rsidR="00DB1C01">
        <w:rPr>
          <w:rFonts w:ascii="Arial" w:hAnsi="Arial" w:cs="Arial"/>
          <w:b/>
          <w:sz w:val="28"/>
          <w:szCs w:val="28"/>
        </w:rPr>
        <w:t xml:space="preserve"> Information</w:t>
      </w:r>
    </w:p>
    <w:tbl>
      <w:tblPr>
        <w:tblStyle w:val="Tabellenraster"/>
        <w:tblW w:w="96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3827"/>
      </w:tblGrid>
      <w:tr w:rsidR="00200F30" w:rsidTr="00EF7FF6">
        <w:tc>
          <w:tcPr>
            <w:tcW w:w="5778" w:type="dxa"/>
          </w:tcPr>
          <w:bookmarkEnd w:id="1"/>
          <w:bookmarkEnd w:id="2"/>
          <w:p w:rsidR="00200F30" w:rsidRDefault="00200F30" w:rsidP="00200F30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Wenn die Ausführung einer Funktion zwei oder mehrere verschiedene Ereignisse zur Folge hat, muss die Verbin</w:t>
            </w:r>
            <w:r w:rsidR="00CE67BD"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t xml:space="preserve">dung zwischen der Funktion und den Ereignissen mit einem UND-Operator </w:t>
            </w:r>
            <w:r w:rsidR="00CE67BD">
              <w:rPr>
                <w:rFonts w:ascii="Arial" w:hAnsi="Arial" w:cs="Arial"/>
              </w:rPr>
              <w:t>hergestellt</w:t>
            </w:r>
            <w:r>
              <w:rPr>
                <w:rFonts w:ascii="Arial" w:hAnsi="Arial" w:cs="Arial"/>
              </w:rPr>
              <w:t xml:space="preserve"> werden.</w:t>
            </w:r>
          </w:p>
          <w:p w:rsidR="0077148F" w:rsidRDefault="00200F30" w:rsidP="0077148F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UND-Operator besagt dann, dass </w:t>
            </w:r>
            <w:r>
              <w:rPr>
                <w:rFonts w:ascii="Arial" w:hAnsi="Arial" w:cs="Arial"/>
                <w:b/>
                <w:i/>
              </w:rPr>
              <w:t>alle</w:t>
            </w:r>
            <w:r>
              <w:rPr>
                <w:rFonts w:ascii="Arial" w:hAnsi="Arial" w:cs="Arial"/>
              </w:rPr>
              <w:t xml:space="preserve"> </w:t>
            </w:r>
            <w:r w:rsidRPr="00CE67BD">
              <w:rPr>
                <w:rFonts w:ascii="Arial" w:hAnsi="Arial" w:cs="Arial"/>
                <w:b/>
                <w:i/>
              </w:rPr>
              <w:t xml:space="preserve">Ereignisse </w:t>
            </w:r>
            <w:r>
              <w:rPr>
                <w:rFonts w:ascii="Arial" w:hAnsi="Arial" w:cs="Arial"/>
              </w:rPr>
              <w:t>eintreten müssen, die durch die über den Operator verbundene Funktion verursacht werden.</w:t>
            </w:r>
          </w:p>
        </w:tc>
        <w:tc>
          <w:tcPr>
            <w:tcW w:w="3827" w:type="dxa"/>
          </w:tcPr>
          <w:p w:rsidR="00200F30" w:rsidRDefault="00EF7FF6" w:rsidP="004918D7">
            <w:pPr>
              <w:rPr>
                <w:rFonts w:ascii="Arial" w:hAnsi="Arial" w:cs="Arial"/>
              </w:rPr>
            </w:pPr>
            <w:r>
              <w:object w:dxaOrig="5237" w:dyaOrig="3231">
                <v:shape id="_x0000_i1025" type="#_x0000_t75" style="width:185.25pt;height:114pt" o:ole="">
                  <v:imagedata r:id="rId8" o:title=""/>
                </v:shape>
                <o:OLEObject Type="Embed" ProgID="iGrafx.Document" ShapeID="_x0000_i1025" DrawAspect="Content" ObjectID="_1592308358" r:id="rId9"/>
              </w:object>
            </w:r>
          </w:p>
        </w:tc>
      </w:tr>
    </w:tbl>
    <w:p w:rsidR="00265B77" w:rsidRDefault="00265B77" w:rsidP="009F4BE7">
      <w:pPr>
        <w:spacing w:after="0" w:line="288" w:lineRule="auto"/>
        <w:rPr>
          <w:rFonts w:ascii="Arial" w:hAnsi="Arial" w:cs="Arial"/>
        </w:rPr>
      </w:pPr>
    </w:p>
    <w:tbl>
      <w:tblPr>
        <w:tblStyle w:val="Tabellenraster"/>
        <w:tblW w:w="95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0"/>
        <w:gridCol w:w="3995"/>
      </w:tblGrid>
      <w:tr w:rsidR="0077148F" w:rsidTr="00EF7FF6">
        <w:tc>
          <w:tcPr>
            <w:tcW w:w="5778" w:type="dxa"/>
          </w:tcPr>
          <w:p w:rsidR="0077148F" w:rsidRDefault="0077148F" w:rsidP="004918D7">
            <w:pPr>
              <w:spacing w:after="120"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Das gleich</w:t>
            </w:r>
            <w:r w:rsidR="00394498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 gilt, wenn zur Auslösung einer Funktion zwei oder mehrere Ereignisse eingetreten sein müssen.</w:t>
            </w:r>
          </w:p>
          <w:p w:rsidR="0077148F" w:rsidRDefault="0077148F" w:rsidP="004918D7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UND -Operator besagt dann, dass </w:t>
            </w:r>
            <w:r>
              <w:rPr>
                <w:rFonts w:ascii="Arial" w:hAnsi="Arial" w:cs="Arial"/>
                <w:b/>
                <w:i/>
              </w:rPr>
              <w:t>alle</w:t>
            </w:r>
            <w:r w:rsidRPr="008D70D4">
              <w:rPr>
                <w:rFonts w:ascii="Arial" w:hAnsi="Arial" w:cs="Arial"/>
                <w:b/>
                <w:i/>
              </w:rPr>
              <w:t xml:space="preserve"> Ereignis</w:t>
            </w:r>
            <w:r w:rsidR="00EE1712">
              <w:rPr>
                <w:rFonts w:ascii="Arial" w:hAnsi="Arial" w:cs="Arial"/>
                <w:b/>
                <w:i/>
              </w:rPr>
              <w:t>se</w:t>
            </w:r>
            <w:r>
              <w:rPr>
                <w:rFonts w:ascii="Arial" w:hAnsi="Arial" w:cs="Arial"/>
              </w:rPr>
              <w:t xml:space="preserve"> eingetreten sein müssen, um die über den Operator verbundene Funktion auszulösen.</w:t>
            </w:r>
          </w:p>
          <w:p w:rsidR="0077148F" w:rsidRDefault="0077148F" w:rsidP="004918D7">
            <w:pPr>
              <w:spacing w:line="288" w:lineRule="auto"/>
              <w:rPr>
                <w:rFonts w:ascii="Arial" w:hAnsi="Arial" w:cs="Arial"/>
              </w:rPr>
            </w:pPr>
          </w:p>
          <w:p w:rsidR="0077148F" w:rsidRDefault="0077148F" w:rsidP="0077148F">
            <w:pPr>
              <w:tabs>
                <w:tab w:val="left" w:pos="2340"/>
              </w:tabs>
              <w:spacing w:line="288" w:lineRule="auto"/>
              <w:ind w:left="851" w:hanging="85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Merke: </w:t>
            </w:r>
            <w:r>
              <w:rPr>
                <w:rFonts w:ascii="Arial" w:hAnsi="Arial" w:cs="Arial"/>
              </w:rPr>
              <w:tab/>
              <w:t xml:space="preserve">Ein Kontrollfluss, der mit einem UND-Operator verzweigt wird, </w:t>
            </w:r>
            <w:r w:rsidR="00462454">
              <w:rPr>
                <w:rFonts w:ascii="Arial" w:hAnsi="Arial" w:cs="Arial"/>
              </w:rPr>
              <w:t>kann nur</w:t>
            </w:r>
            <w:r>
              <w:rPr>
                <w:rFonts w:ascii="Arial" w:hAnsi="Arial" w:cs="Arial"/>
              </w:rPr>
              <w:t xml:space="preserve"> mit einem UND-Operator </w:t>
            </w:r>
            <w:r w:rsidR="00462454">
              <w:rPr>
                <w:rFonts w:ascii="Arial" w:hAnsi="Arial" w:cs="Arial"/>
              </w:rPr>
              <w:t xml:space="preserve">wieder </w:t>
            </w:r>
            <w:r>
              <w:rPr>
                <w:rFonts w:ascii="Arial" w:hAnsi="Arial" w:cs="Arial"/>
              </w:rPr>
              <w:t>zusammengeführt werden.</w:t>
            </w:r>
          </w:p>
          <w:p w:rsidR="0077148F" w:rsidRDefault="0077148F" w:rsidP="0077148F">
            <w:pPr>
              <w:spacing w:line="28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56704" behindDoc="1" locked="0" layoutInCell="1" allowOverlap="1" wp14:anchorId="075A161F" wp14:editId="260F4522">
                  <wp:simplePos x="0" y="0"/>
                  <wp:positionH relativeFrom="column">
                    <wp:posOffset>3491230</wp:posOffset>
                  </wp:positionH>
                  <wp:positionV relativeFrom="paragraph">
                    <wp:posOffset>107950</wp:posOffset>
                  </wp:positionV>
                  <wp:extent cx="1085850" cy="377190"/>
                  <wp:effectExtent l="0" t="0" r="0" b="381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und.jpe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77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17" w:type="dxa"/>
          </w:tcPr>
          <w:p w:rsidR="0077148F" w:rsidRDefault="00EF7FF6" w:rsidP="004918D7">
            <w:pPr>
              <w:jc w:val="right"/>
              <w:rPr>
                <w:rFonts w:ascii="Arial" w:hAnsi="Arial" w:cs="Arial"/>
              </w:rPr>
            </w:pPr>
            <w:r>
              <w:object w:dxaOrig="5390" w:dyaOrig="3497">
                <v:shape id="_x0000_i1026" type="#_x0000_t75" style="width:189pt;height:122.25pt" o:ole="">
                  <v:imagedata r:id="rId11" o:title=""/>
                </v:shape>
                <o:OLEObject Type="Embed" ProgID="iGrafx.Document" ShapeID="_x0000_i1026" DrawAspect="Content" ObjectID="_1592308359" r:id="rId12"/>
              </w:object>
            </w:r>
          </w:p>
        </w:tc>
      </w:tr>
    </w:tbl>
    <w:p w:rsidR="0077148F" w:rsidRDefault="0077148F" w:rsidP="009F4BE7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Im EPK-Modell wird der UND-Operator mit dem Symbol          dargestellt</w:t>
      </w:r>
    </w:p>
    <w:p w:rsidR="0077148F" w:rsidRDefault="0077148F" w:rsidP="009F4BE7">
      <w:pPr>
        <w:spacing w:after="0" w:line="288" w:lineRule="auto"/>
        <w:rPr>
          <w:rFonts w:ascii="Arial" w:hAnsi="Arial" w:cs="Arial"/>
        </w:rPr>
      </w:pPr>
    </w:p>
    <w:p w:rsidR="00C17DED" w:rsidRDefault="00C17DED" w:rsidP="002B19EB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69"/>
      </w:tblGrid>
      <w:tr w:rsidR="005E595B" w:rsidTr="00EF7FF6">
        <w:tc>
          <w:tcPr>
            <w:tcW w:w="5637" w:type="dxa"/>
          </w:tcPr>
          <w:p w:rsidR="00C73E1E" w:rsidRDefault="005E595B" w:rsidP="00C73E1E">
            <w:pPr>
              <w:spacing w:after="120" w:line="288" w:lineRule="auto"/>
              <w:ind w:left="1134" w:hanging="1134"/>
              <w:rPr>
                <w:rFonts w:ascii="Arial" w:hAnsi="Arial" w:cs="Arial"/>
              </w:rPr>
            </w:pPr>
            <w:r w:rsidRPr="008D70D4">
              <w:rPr>
                <w:rFonts w:ascii="Arial" w:hAnsi="Arial" w:cs="Arial"/>
                <w:b/>
              </w:rPr>
              <w:t>Beachte:</w:t>
            </w:r>
            <w:r w:rsidRPr="008D70D4">
              <w:rPr>
                <w:rFonts w:ascii="Arial" w:hAnsi="Arial" w:cs="Arial"/>
                <w:b/>
              </w:rPr>
              <w:tab/>
            </w:r>
            <w:r w:rsidRPr="005E595B">
              <w:rPr>
                <w:rFonts w:ascii="Arial" w:hAnsi="Arial" w:cs="Arial"/>
              </w:rPr>
              <w:t>Da bei der Verwendung des UND-Opera</w:t>
            </w:r>
            <w:r w:rsidR="00394498">
              <w:rPr>
                <w:rFonts w:ascii="Arial" w:hAnsi="Arial" w:cs="Arial"/>
              </w:rPr>
              <w:softHyphen/>
            </w:r>
            <w:r w:rsidRPr="005E595B">
              <w:rPr>
                <w:rFonts w:ascii="Arial" w:hAnsi="Arial" w:cs="Arial"/>
              </w:rPr>
              <w:t xml:space="preserve">tors </w:t>
            </w:r>
            <w:r w:rsidR="00394498">
              <w:rPr>
                <w:rFonts w:ascii="Arial" w:hAnsi="Arial" w:cs="Arial"/>
              </w:rPr>
              <w:t>ein Ereignis passiv bleibt und nicht über den weiteren Ablauf des Prozesses entscheidet,</w:t>
            </w:r>
            <w:r w:rsidRPr="005E595B">
              <w:rPr>
                <w:rFonts w:ascii="Arial" w:hAnsi="Arial" w:cs="Arial"/>
              </w:rPr>
              <w:t xml:space="preserve"> können nach </w:t>
            </w:r>
            <w:r w:rsidRPr="005E595B">
              <w:rPr>
                <w:rFonts w:ascii="Arial" w:hAnsi="Arial" w:cs="Arial"/>
                <w:b/>
                <w:i/>
              </w:rPr>
              <w:t>einem</w:t>
            </w:r>
            <w:r w:rsidRPr="005E595B">
              <w:rPr>
                <w:rFonts w:ascii="Arial" w:hAnsi="Arial" w:cs="Arial"/>
              </w:rPr>
              <w:t xml:space="preserve"> </w:t>
            </w:r>
            <w:r w:rsidRPr="00E56E59">
              <w:rPr>
                <w:rFonts w:ascii="Arial" w:hAnsi="Arial" w:cs="Arial"/>
                <w:b/>
                <w:i/>
              </w:rPr>
              <w:t>Ereignis</w:t>
            </w:r>
            <w:r w:rsidRPr="005E595B">
              <w:rPr>
                <w:rFonts w:ascii="Arial" w:hAnsi="Arial" w:cs="Arial"/>
              </w:rPr>
              <w:t xml:space="preserve"> auch mehrere Funktionen folgen.</w:t>
            </w:r>
          </w:p>
          <w:p w:rsidR="005E595B" w:rsidRDefault="00C73E1E" w:rsidP="00394498">
            <w:pPr>
              <w:spacing w:line="288" w:lineRule="auto"/>
              <w:ind w:left="11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UND -Operator besagt dann, dass </w:t>
            </w:r>
            <w:r>
              <w:rPr>
                <w:rFonts w:ascii="Arial" w:hAnsi="Arial" w:cs="Arial"/>
                <w:b/>
                <w:i/>
              </w:rPr>
              <w:t>alle</w:t>
            </w:r>
            <w:r w:rsidRPr="008D70D4">
              <w:rPr>
                <w:rFonts w:ascii="Arial" w:hAnsi="Arial" w:cs="Arial"/>
                <w:b/>
                <w:i/>
              </w:rPr>
              <w:t xml:space="preserve"> </w:t>
            </w:r>
            <w:r>
              <w:rPr>
                <w:rFonts w:ascii="Arial" w:hAnsi="Arial" w:cs="Arial"/>
                <w:b/>
                <w:i/>
              </w:rPr>
              <w:t>Funktionen</w:t>
            </w:r>
            <w:r>
              <w:rPr>
                <w:rFonts w:ascii="Arial" w:hAnsi="Arial" w:cs="Arial"/>
              </w:rPr>
              <w:t xml:space="preserve"> ausgelöst werden, wenn das über den Operator verbundene Ereignis eingetreten ist.</w:t>
            </w:r>
          </w:p>
        </w:tc>
        <w:tc>
          <w:tcPr>
            <w:tcW w:w="3969" w:type="dxa"/>
          </w:tcPr>
          <w:p w:rsidR="005E595B" w:rsidRDefault="00EF7FF6" w:rsidP="00EF7FF6">
            <w:pPr>
              <w:ind w:left="-533" w:firstLine="533"/>
              <w:jc w:val="right"/>
              <w:rPr>
                <w:rFonts w:ascii="Arial" w:hAnsi="Arial" w:cs="Arial"/>
              </w:rPr>
            </w:pPr>
            <w:r>
              <w:object w:dxaOrig="4734" w:dyaOrig="3230">
                <v:shape id="_x0000_i1027" type="#_x0000_t75" style="width:189.75pt;height:129pt" o:ole="" o:allowoverlap="f">
                  <v:imagedata r:id="rId13" o:title=""/>
                </v:shape>
                <o:OLEObject Type="Embed" ProgID="iGrafx.Document" ShapeID="_x0000_i1027" DrawAspect="Content" ObjectID="_1592308360" r:id="rId14"/>
              </w:object>
            </w:r>
          </w:p>
        </w:tc>
      </w:tr>
    </w:tbl>
    <w:p w:rsidR="008E5819" w:rsidRDefault="008E5819" w:rsidP="008E5819">
      <w:pPr>
        <w:spacing w:after="0" w:line="240" w:lineRule="auto"/>
        <w:rPr>
          <w:rFonts w:ascii="Arial" w:hAnsi="Arial" w:cs="Arial"/>
        </w:rPr>
      </w:pPr>
    </w:p>
    <w:p w:rsidR="008E5819" w:rsidRDefault="008E5819" w:rsidP="008E5819">
      <w:pPr>
        <w:tabs>
          <w:tab w:val="left" w:pos="567"/>
        </w:tabs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b/>
          <w:sz w:val="24"/>
        </w:rPr>
        <w:tab/>
        <w:t>Prozesswegweiser</w:t>
      </w:r>
    </w:p>
    <w:p w:rsidR="008E5819" w:rsidRDefault="000A338F" w:rsidP="008E5819">
      <w:pPr>
        <w:spacing w:after="0" w:line="240" w:lineRule="auto"/>
        <w:rPr>
          <w:rFonts w:ascii="Arial" w:hAnsi="Arial" w:cs="Arial"/>
        </w:rPr>
      </w:pPr>
      <w:r>
        <w:rPr>
          <w:noProof/>
        </w:rPr>
        <w:object w:dxaOrig="1440" w:dyaOrig="1440">
          <v:shape id="_x0000_s1030" type="#_x0000_t75" style="position:absolute;margin-left:340.05pt;margin-top:5.75pt;width:135.75pt;height:78.85pt;z-index:251659264;mso-position-horizontal-relative:text;mso-position-vertical-relative:text" wrapcoords="1940 2672 1552 3340 1293 4899 1293 17146 1811 18928 1940 18928 19660 18928 19789 18928 20307 17146 20177 3786 19660 2672 1940 2672">
            <v:imagedata r:id="rId15" o:title=""/>
            <w10:wrap type="tight"/>
          </v:shape>
          <o:OLEObject Type="Embed" ProgID="iGrafx.Document" ShapeID="_x0000_s1030" DrawAspect="Content" ObjectID="_1592308361" r:id="rId16"/>
        </w:object>
      </w: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Die Analyse eines Geschäftsprozesses kann dazu führen, dass der Blick auf Abläufe fällt, die für den zu betrachtenden Prozess nur eine untergeordnete Rol</w:t>
      </w:r>
      <w:bookmarkStart w:id="3" w:name="_GoBack"/>
      <w:bookmarkEnd w:id="3"/>
      <w:r>
        <w:rPr>
          <w:rFonts w:ascii="Arial" w:hAnsi="Arial" w:cs="Arial"/>
        </w:rPr>
        <w:t>le spielen. Damit der Fokus der Analyse auf den Hauptprozess gerichtet bleibt, bietet das EPK-Modell die Möglichkeit, die Abläufe des untergeordneten Prozesses auszugliedern. Das zentrale Konstrukt zur Darstellung hierfür ist der Prozesswegweiser</w:t>
      </w:r>
    </w:p>
    <w:p w:rsidR="008E5819" w:rsidRDefault="008E5819" w:rsidP="008E5819">
      <w:pPr>
        <w:rPr>
          <w:rFonts w:ascii="Arial" w:hAnsi="Arial" w:cs="Arial"/>
        </w:rPr>
      </w:pPr>
    </w:p>
    <w:p w:rsidR="008E5819" w:rsidRDefault="001B36AE" w:rsidP="001B36AE">
      <w:pPr>
        <w:spacing w:after="120" w:line="288" w:lineRule="auto"/>
        <w:ind w:left="1134" w:hanging="1134"/>
        <w:rPr>
          <w:rFonts w:ascii="Arial" w:hAnsi="Arial" w:cs="Arial"/>
        </w:rPr>
      </w:pPr>
      <w:r w:rsidRPr="00BF4DA2">
        <w:rPr>
          <w:rFonts w:ascii="Arial" w:hAnsi="Arial" w:cs="Arial"/>
          <w:b/>
        </w:rPr>
        <w:t>Hinweis: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8E5819">
        <w:rPr>
          <w:rFonts w:ascii="Arial" w:hAnsi="Arial" w:cs="Arial"/>
        </w:rPr>
        <w:t>Die Software</w:t>
      </w:r>
      <w:r w:rsidR="008A0AF0">
        <w:rPr>
          <w:rFonts w:ascii="Arial" w:hAnsi="Arial" w:cs="Arial"/>
        </w:rPr>
        <w:t xml:space="preserve"> 'Visio' und</w:t>
      </w:r>
      <w:r w:rsidR="008E5819">
        <w:rPr>
          <w:rFonts w:ascii="Arial" w:hAnsi="Arial" w:cs="Arial"/>
        </w:rPr>
        <w:t xml:space="preserve"> 'DIA' stell</w:t>
      </w:r>
      <w:r w:rsidR="008A0AF0">
        <w:rPr>
          <w:rFonts w:ascii="Arial" w:hAnsi="Arial" w:cs="Arial"/>
        </w:rPr>
        <w:t>en</w:t>
      </w:r>
      <w:r w:rsidR="008E5819">
        <w:rPr>
          <w:rFonts w:ascii="Arial" w:hAnsi="Arial" w:cs="Arial"/>
        </w:rPr>
        <w:t xml:space="preserve"> für das EPK-Element Prozesswegweiser kein eigenes Symbol zur Verfügung. Es empfiehlt sich, das Funktionen-Element mit einem entsprechenden Hinweis zu verwenden.</w:t>
      </w:r>
    </w:p>
    <w:p w:rsidR="008E5819" w:rsidRDefault="008E5819" w:rsidP="008E5819">
      <w:pPr>
        <w:spacing w:after="120" w:line="288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E273637" wp14:editId="2157B3CC">
            <wp:extent cx="1808194" cy="937895"/>
            <wp:effectExtent l="0" t="0" r="190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gweiser.jpe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517" cy="94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</w:p>
    <w:p w:rsidR="00ED1552" w:rsidRPr="00ED1552" w:rsidRDefault="00ED1552" w:rsidP="00ED1552">
      <w:pPr>
        <w:spacing w:after="120" w:line="288" w:lineRule="auto"/>
        <w:rPr>
          <w:rFonts w:ascii="Arial" w:hAnsi="Arial" w:cs="Arial"/>
          <w:b/>
          <w:sz w:val="24"/>
        </w:rPr>
      </w:pPr>
      <w:r w:rsidRPr="00ED1552">
        <w:rPr>
          <w:rFonts w:ascii="Arial" w:hAnsi="Arial" w:cs="Arial"/>
          <w:b/>
          <w:sz w:val="24"/>
        </w:rPr>
        <w:t>Exkurs</w:t>
      </w:r>
    </w:p>
    <w:p w:rsidR="00ED1552" w:rsidRDefault="00ED1552" w:rsidP="008E5819">
      <w:pPr>
        <w:spacing w:after="120" w:line="288" w:lineRule="auto"/>
        <w:rPr>
          <w:rFonts w:ascii="Arial" w:hAnsi="Arial" w:cs="Arial"/>
        </w:rPr>
      </w:pP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Folgende Argumente sprechen dafür, Prozesswegweiser in ereignisgesteuerte Prozessketten zu verwenden:</w:t>
      </w:r>
    </w:p>
    <w:p w:rsidR="008E5819" w:rsidRPr="009923B1" w:rsidRDefault="008E5819" w:rsidP="008E5819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rPr>
          <w:rFonts w:ascii="Arial" w:hAnsi="Arial" w:cs="Arial"/>
        </w:rPr>
      </w:pPr>
      <w:r w:rsidRPr="009923B1">
        <w:rPr>
          <w:rFonts w:ascii="Arial" w:hAnsi="Arial" w:cs="Arial"/>
        </w:rPr>
        <w:t>Unübersichtliche, lange ereignisgesteuerte Prozessketten können in verschieden Teilprozesse aufgeteilt werden.</w:t>
      </w:r>
    </w:p>
    <w:p w:rsidR="008E5819" w:rsidRPr="009923B1" w:rsidRDefault="008E5819" w:rsidP="008E5819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rPr>
          <w:rFonts w:ascii="Arial" w:hAnsi="Arial" w:cs="Arial"/>
        </w:rPr>
      </w:pPr>
      <w:r w:rsidRPr="009923B1">
        <w:rPr>
          <w:rFonts w:ascii="Arial" w:hAnsi="Arial" w:cs="Arial"/>
        </w:rPr>
        <w:t>Wenn ein Geschäftsprozess andere Teilprozesse benötigt, kann mit einem Verweis auf diese Teilprozesse die Modellierung vereinfacht werden.</w:t>
      </w:r>
    </w:p>
    <w:p w:rsidR="008E5819" w:rsidRPr="009923B1" w:rsidRDefault="008E5819" w:rsidP="008E5819">
      <w:pPr>
        <w:pStyle w:val="Listenabsatz"/>
        <w:numPr>
          <w:ilvl w:val="0"/>
          <w:numId w:val="17"/>
        </w:numPr>
        <w:spacing w:after="120" w:line="240" w:lineRule="auto"/>
        <w:ind w:left="357" w:hanging="357"/>
        <w:contextualSpacing w:val="0"/>
        <w:rPr>
          <w:rFonts w:ascii="Arial" w:hAnsi="Arial" w:cs="Arial"/>
        </w:rPr>
      </w:pPr>
      <w:r w:rsidRPr="009923B1">
        <w:rPr>
          <w:rFonts w:ascii="Arial" w:hAnsi="Arial" w:cs="Arial"/>
        </w:rPr>
        <w:t>Der Zusammenhang verschiedener Geschäftsprozesse kann veranschaulicht werden.</w:t>
      </w: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</w:p>
    <w:p w:rsidR="008E5819" w:rsidRDefault="008E5819" w:rsidP="008E5819">
      <w:pPr>
        <w:spacing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Bei der Modellierung mit einem Prozesswegweiser gibt es immer zwei ereignisgesteuerte Prozessketten: die "aufrufende Prozesskette" und die "aufgerufene Prozesskette".</w:t>
      </w:r>
    </w:p>
    <w:p w:rsidR="008E5819" w:rsidRDefault="008E5819" w:rsidP="008E5819">
      <w:pPr>
        <w:tabs>
          <w:tab w:val="left" w:pos="6237"/>
        </w:tabs>
        <w:spacing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In der aufrufenden Prozesskette steht der Prozesswegweiser an der Stelle einer Funktion und gibt an, welcher Unterprozess an dieser Stelle aufgerufen werden soll.</w:t>
      </w:r>
      <w:r>
        <w:rPr>
          <w:rFonts w:ascii="Arial" w:hAnsi="Arial" w:cs="Arial"/>
        </w:rPr>
        <w:br/>
        <w:t>Die aufgerufene ereignisgesteuerte Prozesskette beginnt und endet mit einem Prozessweg</w:t>
      </w:r>
      <w:r w:rsidR="00ED1552">
        <w:rPr>
          <w:rFonts w:ascii="Arial" w:hAnsi="Arial" w:cs="Arial"/>
        </w:rPr>
        <w:softHyphen/>
      </w:r>
      <w:r>
        <w:rPr>
          <w:rFonts w:ascii="Arial" w:hAnsi="Arial" w:cs="Arial"/>
        </w:rPr>
        <w:t>weiser als Verknüpfungsstelle.</w:t>
      </w:r>
    </w:p>
    <w:p w:rsidR="008E5819" w:rsidRDefault="008E5819" w:rsidP="008E5819">
      <w:pPr>
        <w:tabs>
          <w:tab w:val="left" w:pos="6237"/>
        </w:tabs>
        <w:spacing w:after="120" w:line="288" w:lineRule="auto"/>
        <w:rPr>
          <w:rFonts w:ascii="Arial" w:hAnsi="Arial" w:cs="Arial"/>
        </w:rPr>
      </w:pPr>
      <w:r w:rsidRPr="008D60A2">
        <w:rPr>
          <w:rFonts w:ascii="Arial" w:hAnsi="Arial" w:cs="Arial"/>
        </w:rPr>
        <w:t>Das/die Ereignis/se in der aufrufenden EPK vor dem Prozesswegweiser wird/werden in der auf</w:t>
      </w:r>
      <w:r w:rsidR="00ED1552">
        <w:rPr>
          <w:rFonts w:ascii="Arial" w:hAnsi="Arial" w:cs="Arial"/>
        </w:rPr>
        <w:softHyphen/>
      </w:r>
      <w:r w:rsidRPr="008D60A2">
        <w:rPr>
          <w:rFonts w:ascii="Arial" w:hAnsi="Arial" w:cs="Arial"/>
        </w:rPr>
        <w:t>gerufen EPK nach dem Prozesswegweiser</w:t>
      </w:r>
      <w:r>
        <w:rPr>
          <w:rFonts w:ascii="Arial" w:hAnsi="Arial" w:cs="Arial"/>
        </w:rPr>
        <w:t xml:space="preserve"> </w:t>
      </w:r>
      <w:r w:rsidRPr="008D60A2">
        <w:rPr>
          <w:rFonts w:ascii="Arial" w:hAnsi="Arial" w:cs="Arial"/>
        </w:rPr>
        <w:t>wiederholt. Es ist/sind das Startereignis in der auf</w:t>
      </w:r>
      <w:r w:rsidR="00ED1552">
        <w:rPr>
          <w:rFonts w:ascii="Arial" w:hAnsi="Arial" w:cs="Arial"/>
        </w:rPr>
        <w:softHyphen/>
      </w:r>
      <w:r w:rsidRPr="008D60A2">
        <w:rPr>
          <w:rFonts w:ascii="Arial" w:hAnsi="Arial" w:cs="Arial"/>
        </w:rPr>
        <w:t>ger</w:t>
      </w:r>
      <w:r>
        <w:rPr>
          <w:rFonts w:ascii="Arial" w:hAnsi="Arial" w:cs="Arial"/>
        </w:rPr>
        <w:t>u</w:t>
      </w:r>
      <w:r w:rsidRPr="008D60A2">
        <w:rPr>
          <w:rFonts w:ascii="Arial" w:hAnsi="Arial" w:cs="Arial"/>
        </w:rPr>
        <w:t>fenen EPK. Es bildet das Verknüpfungsereignis. G</w:t>
      </w:r>
      <w:r w:rsidR="00B3525C">
        <w:rPr>
          <w:rFonts w:ascii="Arial" w:hAnsi="Arial" w:cs="Arial"/>
        </w:rPr>
        <w:t>leiches gilt für das Ereignis in der</w:t>
      </w:r>
      <w:r w:rsidRPr="008D60A2">
        <w:rPr>
          <w:rFonts w:ascii="Arial" w:hAnsi="Arial" w:cs="Arial"/>
        </w:rPr>
        <w:t xml:space="preserve"> auf</w:t>
      </w:r>
      <w:r w:rsidR="00B3525C">
        <w:rPr>
          <w:rFonts w:ascii="Arial" w:hAnsi="Arial" w:cs="Arial"/>
        </w:rPr>
        <w:t>-</w:t>
      </w:r>
      <w:r w:rsidRPr="008D60A2">
        <w:rPr>
          <w:rFonts w:ascii="Arial" w:hAnsi="Arial" w:cs="Arial"/>
        </w:rPr>
        <w:t>rufen</w:t>
      </w:r>
      <w:r w:rsidR="00ED1552">
        <w:rPr>
          <w:rFonts w:ascii="Arial" w:hAnsi="Arial" w:cs="Arial"/>
        </w:rPr>
        <w:softHyphen/>
      </w:r>
      <w:r w:rsidRPr="008D60A2">
        <w:rPr>
          <w:rFonts w:ascii="Arial" w:hAnsi="Arial" w:cs="Arial"/>
        </w:rPr>
        <w:t>den EPK, das nach dem Prozesswegweiser steht. Dieses Ereignis stellt das</w:t>
      </w:r>
      <w:r>
        <w:rPr>
          <w:rFonts w:ascii="Arial" w:hAnsi="Arial" w:cs="Arial"/>
        </w:rPr>
        <w:t xml:space="preserve"> Endereignis und </w:t>
      </w:r>
      <w:r w:rsidRPr="008D60A2">
        <w:rPr>
          <w:rFonts w:ascii="Arial" w:hAnsi="Arial" w:cs="Arial"/>
        </w:rPr>
        <w:t>Verknü</w:t>
      </w:r>
      <w:r>
        <w:rPr>
          <w:rFonts w:ascii="Arial" w:hAnsi="Arial" w:cs="Arial"/>
        </w:rPr>
        <w:t>p</w:t>
      </w:r>
      <w:r w:rsidRPr="008D60A2">
        <w:rPr>
          <w:rFonts w:ascii="Arial" w:hAnsi="Arial" w:cs="Arial"/>
        </w:rPr>
        <w:t xml:space="preserve">fungsereignis </w:t>
      </w:r>
      <w:r w:rsidR="00903B55">
        <w:rPr>
          <w:rFonts w:ascii="Arial" w:hAnsi="Arial" w:cs="Arial"/>
        </w:rPr>
        <w:t>in der</w:t>
      </w:r>
      <w:r>
        <w:rPr>
          <w:rFonts w:ascii="Arial" w:hAnsi="Arial" w:cs="Arial"/>
        </w:rPr>
        <w:t xml:space="preserve"> </w:t>
      </w:r>
      <w:r w:rsidRPr="008D60A2">
        <w:rPr>
          <w:rFonts w:ascii="Arial" w:hAnsi="Arial" w:cs="Arial"/>
        </w:rPr>
        <w:t>aufgerufenen EPK vor dem Prozesswegweiser dar, der den aufge</w:t>
      </w:r>
      <w:r w:rsidR="00ED1552">
        <w:rPr>
          <w:rFonts w:ascii="Arial" w:hAnsi="Arial" w:cs="Arial"/>
        </w:rPr>
        <w:softHyphen/>
      </w:r>
      <w:r w:rsidRPr="008D60A2">
        <w:rPr>
          <w:rFonts w:ascii="Arial" w:hAnsi="Arial" w:cs="Arial"/>
        </w:rPr>
        <w:t>rufenen EPK abschlie</w:t>
      </w:r>
      <w:r w:rsidR="00ED1552">
        <w:rPr>
          <w:rFonts w:ascii="Arial" w:hAnsi="Arial" w:cs="Arial"/>
        </w:rPr>
        <w:t>ßt. (Siehe Abbildung Seite 3</w:t>
      </w:r>
      <w:r>
        <w:rPr>
          <w:rFonts w:ascii="Arial" w:hAnsi="Arial" w:cs="Arial"/>
        </w:rPr>
        <w:t>)</w:t>
      </w:r>
    </w:p>
    <w:p w:rsidR="008E5819" w:rsidRPr="002C270F" w:rsidRDefault="008E5819" w:rsidP="008E5819">
      <w:pPr>
        <w:tabs>
          <w:tab w:val="left" w:pos="6237"/>
        </w:tabs>
        <w:spacing w:after="120" w:line="240" w:lineRule="auto"/>
        <w:ind w:left="709" w:hanging="709"/>
      </w:pPr>
      <w:r>
        <w:rPr>
          <w:rFonts w:ascii="Arial" w:hAnsi="Arial" w:cs="Arial"/>
          <w:sz w:val="18"/>
        </w:rPr>
        <w:t>(Quelle:</w:t>
      </w:r>
      <w:r>
        <w:rPr>
          <w:rFonts w:ascii="Arial" w:hAnsi="Arial" w:cs="Arial"/>
          <w:sz w:val="18"/>
        </w:rPr>
        <w:tab/>
      </w:r>
      <w:r w:rsidRPr="002C270F">
        <w:t>Baumgartner, Heinz, Ebert, Klaus, Schleider, Karsten: Regeln zur Modellierung von ereignis</w:t>
      </w:r>
      <w:r>
        <w:softHyphen/>
      </w:r>
      <w:r w:rsidRPr="002C270F">
        <w:t>gesteuerten Prozessketten, Beilage zur Kaufmännischen ZPG – Mitteilung Nr. 24, Stuttgart 2001</w:t>
      </w:r>
      <w:r>
        <w:t>)</w:t>
      </w:r>
    </w:p>
    <w:p w:rsidR="008E5819" w:rsidRDefault="008E5819" w:rsidP="002B19EB">
      <w:pPr>
        <w:spacing w:after="0" w:line="240" w:lineRule="auto"/>
        <w:rPr>
          <w:rFonts w:ascii="Arial" w:hAnsi="Arial" w:cs="Arial"/>
        </w:rPr>
      </w:pPr>
    </w:p>
    <w:p w:rsidR="00ED1552" w:rsidRDefault="00ED155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D1552" w:rsidRDefault="00ED1552" w:rsidP="00ED1552">
      <w:pPr>
        <w:tabs>
          <w:tab w:val="left" w:pos="6237"/>
        </w:tabs>
        <w:spacing w:after="240" w:line="288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Abb.: Darstellung von Haupt- und Unterprozessen</w:t>
      </w:r>
    </w:p>
    <w:p w:rsidR="00ED1552" w:rsidRPr="009F4BE7" w:rsidRDefault="00ED1552" w:rsidP="00ED1552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73F8FB00" wp14:editId="31C21714">
            <wp:extent cx="5854021" cy="55721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507" cy="5593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F30" w:rsidRDefault="00200F30" w:rsidP="002B19EB">
      <w:pPr>
        <w:spacing w:after="0" w:line="240" w:lineRule="auto"/>
        <w:rPr>
          <w:rFonts w:ascii="Arial" w:hAnsi="Arial" w:cs="Arial"/>
        </w:rPr>
      </w:pPr>
    </w:p>
    <w:sectPr w:rsidR="00200F30" w:rsidSect="005F46E0">
      <w:headerReference w:type="default" r:id="rId19"/>
      <w:footerReference w:type="default" r:id="rId20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38F" w:rsidRDefault="000A338F" w:rsidP="00F15712">
      <w:pPr>
        <w:spacing w:after="0" w:line="240" w:lineRule="auto"/>
      </w:pPr>
      <w:r>
        <w:separator/>
      </w:r>
    </w:p>
  </w:endnote>
  <w:endnote w:type="continuationSeparator" w:id="0">
    <w:p w:rsidR="000A338F" w:rsidRDefault="000A338F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AE" w:rsidRDefault="006023D9" w:rsidP="00BC27AE">
    <w:pPr>
      <w:pStyle w:val="Fuzeile"/>
      <w:pBdr>
        <w:top w:val="single" w:sz="4" w:space="1" w:color="auto"/>
      </w:pBdr>
    </w:pPr>
    <w:fldSimple w:instr=" FILENAME   \* MERGEFORMAT ">
      <w:r w:rsidR="008A3458">
        <w:rPr>
          <w:noProof/>
        </w:rPr>
        <w:t>L2_2.2 Information logische Operatoren_und.docx</w:t>
      </w:r>
    </w:fldSimple>
    <w:r w:rsidR="00BC27AE">
      <w:rPr>
        <w:noProof/>
      </w:rPr>
      <w:tab/>
    </w:r>
    <w:r w:rsidR="00BC27AE">
      <w:rPr>
        <w:noProof/>
      </w:rPr>
      <w:tab/>
    </w:r>
    <w:r w:rsidR="00BC27AE">
      <w:fldChar w:fldCharType="begin"/>
    </w:r>
    <w:r w:rsidR="00BC27AE">
      <w:instrText xml:space="preserve"> PAGE   \* MERGEFORMAT </w:instrText>
    </w:r>
    <w:r w:rsidR="00BC27AE">
      <w:fldChar w:fldCharType="separate"/>
    </w:r>
    <w:r w:rsidR="008A3458">
      <w:rPr>
        <w:noProof/>
      </w:rPr>
      <w:t>2</w:t>
    </w:r>
    <w:r w:rsidR="00BC27AE">
      <w:rPr>
        <w:noProof/>
      </w:rPr>
      <w:fldChar w:fldCharType="end"/>
    </w:r>
    <w:r w:rsidR="00BC27AE">
      <w:t xml:space="preserve"> / </w:t>
    </w:r>
    <w:fldSimple w:instr=" NUMPAGES   \* MERGEFORMAT ">
      <w:r w:rsidR="008A3458">
        <w:rPr>
          <w:noProof/>
        </w:rPr>
        <w:t>3</w:t>
      </w:r>
    </w:fldSimple>
  </w:p>
  <w:p w:rsidR="00BC27AE" w:rsidRPr="00792A5F" w:rsidRDefault="00BC27AE" w:rsidP="00BC27AE">
    <w:pPr>
      <w:pStyle w:val="Fuzeile"/>
      <w:spacing w:after="240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38F" w:rsidRDefault="000A338F" w:rsidP="00F15712">
      <w:pPr>
        <w:spacing w:after="0" w:line="240" w:lineRule="auto"/>
      </w:pPr>
      <w:r>
        <w:separator/>
      </w:r>
    </w:p>
  </w:footnote>
  <w:footnote w:type="continuationSeparator" w:id="0">
    <w:p w:rsidR="000A338F" w:rsidRDefault="000A338F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AE" w:rsidRPr="00BC27AE" w:rsidRDefault="00BC27AE" w:rsidP="00BC27A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BC27AE">
      <w:rPr>
        <w:rFonts w:ascii="Calibri" w:eastAsia="Calibri" w:hAnsi="Calibri" w:cs="Times New Roman"/>
        <w:b/>
      </w:rPr>
      <w:t>Unterrichtsbegleitende Materialien Wirtschaftsinformatik</w:t>
    </w:r>
    <w:r w:rsidRPr="00BC27AE">
      <w:rPr>
        <w:rFonts w:ascii="Calibri" w:eastAsia="Calibri" w:hAnsi="Calibri" w:cs="Times New Roman"/>
        <w:b/>
      </w:rPr>
      <w:tab/>
      <w:t>BPE 1 Prozesse</w:t>
    </w:r>
  </w:p>
  <w:p w:rsidR="00BC27AE" w:rsidRPr="00BC27AE" w:rsidRDefault="00BC27AE" w:rsidP="00BC27A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BC27AE">
      <w:rPr>
        <w:rFonts w:ascii="Calibri" w:eastAsia="Calibri" w:hAnsi="Calibri" w:cs="Times New Roman"/>
        <w:b/>
        <w:u w:val="single"/>
      </w:rPr>
      <w:tab/>
    </w:r>
    <w:r w:rsidRPr="00BC27AE">
      <w:rPr>
        <w:rFonts w:ascii="Calibri" w:eastAsia="Calibri" w:hAnsi="Calibri" w:cs="Times New Roman"/>
        <w:b/>
        <w:u w:val="single"/>
      </w:rPr>
      <w:tab/>
    </w:r>
  </w:p>
  <w:p w:rsidR="00BA1261" w:rsidRDefault="00BA12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5.5pt;height:113.25pt;visibility:visible;mso-wrap-style:square" o:bullet="t">
        <v:imagedata r:id="rId1" o:title=""/>
      </v:shape>
    </w:pict>
  </w:numPicBullet>
  <w:abstractNum w:abstractNumId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5AC2607"/>
    <w:multiLevelType w:val="multilevel"/>
    <w:tmpl w:val="295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A9078A"/>
    <w:multiLevelType w:val="multilevel"/>
    <w:tmpl w:val="B0AA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0F0DEC"/>
    <w:multiLevelType w:val="hybridMultilevel"/>
    <w:tmpl w:val="706EC8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3A4D69"/>
    <w:multiLevelType w:val="multilevel"/>
    <w:tmpl w:val="04A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887847"/>
    <w:multiLevelType w:val="hybridMultilevel"/>
    <w:tmpl w:val="EA264BE4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319BD"/>
    <w:multiLevelType w:val="hybridMultilevel"/>
    <w:tmpl w:val="2C1ECD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FE4971"/>
    <w:multiLevelType w:val="hybridMultilevel"/>
    <w:tmpl w:val="67326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C041634"/>
    <w:multiLevelType w:val="hybridMultilevel"/>
    <w:tmpl w:val="FB1264D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6"/>
  </w:num>
  <w:num w:numId="8">
    <w:abstractNumId w:val="8"/>
  </w:num>
  <w:num w:numId="9">
    <w:abstractNumId w:val="16"/>
  </w:num>
  <w:num w:numId="10">
    <w:abstractNumId w:val="1"/>
  </w:num>
  <w:num w:numId="11">
    <w:abstractNumId w:val="2"/>
  </w:num>
  <w:num w:numId="12">
    <w:abstractNumId w:val="9"/>
  </w:num>
  <w:num w:numId="13">
    <w:abstractNumId w:val="12"/>
  </w:num>
  <w:num w:numId="14">
    <w:abstractNumId w:val="15"/>
  </w:num>
  <w:num w:numId="15">
    <w:abstractNumId w:val="7"/>
  </w:num>
  <w:num w:numId="16">
    <w:abstractNumId w:val="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15394"/>
    <w:rsid w:val="000161A5"/>
    <w:rsid w:val="00026438"/>
    <w:rsid w:val="0005484E"/>
    <w:rsid w:val="00061200"/>
    <w:rsid w:val="000745FE"/>
    <w:rsid w:val="00081AD5"/>
    <w:rsid w:val="00086A9F"/>
    <w:rsid w:val="0009651B"/>
    <w:rsid w:val="000A338F"/>
    <w:rsid w:val="000A4DAC"/>
    <w:rsid w:val="000B3053"/>
    <w:rsid w:val="000B6058"/>
    <w:rsid w:val="000B6D2B"/>
    <w:rsid w:val="000C798C"/>
    <w:rsid w:val="000D12D1"/>
    <w:rsid w:val="000D2A64"/>
    <w:rsid w:val="000F31A5"/>
    <w:rsid w:val="001079B0"/>
    <w:rsid w:val="0011291A"/>
    <w:rsid w:val="00116751"/>
    <w:rsid w:val="00120200"/>
    <w:rsid w:val="00125311"/>
    <w:rsid w:val="00126F2F"/>
    <w:rsid w:val="001334F5"/>
    <w:rsid w:val="001470AD"/>
    <w:rsid w:val="001508D9"/>
    <w:rsid w:val="0015457E"/>
    <w:rsid w:val="00171F0E"/>
    <w:rsid w:val="001A53B3"/>
    <w:rsid w:val="001B36AE"/>
    <w:rsid w:val="001C0C54"/>
    <w:rsid w:val="001E2ED6"/>
    <w:rsid w:val="00200B57"/>
    <w:rsid w:val="00200F30"/>
    <w:rsid w:val="00204431"/>
    <w:rsid w:val="00214179"/>
    <w:rsid w:val="0022034F"/>
    <w:rsid w:val="002444D7"/>
    <w:rsid w:val="002444E3"/>
    <w:rsid w:val="002556A0"/>
    <w:rsid w:val="002610D0"/>
    <w:rsid w:val="00262447"/>
    <w:rsid w:val="00265B77"/>
    <w:rsid w:val="00280B77"/>
    <w:rsid w:val="002822AB"/>
    <w:rsid w:val="002904B5"/>
    <w:rsid w:val="002A4884"/>
    <w:rsid w:val="002A7A87"/>
    <w:rsid w:val="002B1827"/>
    <w:rsid w:val="002B19EB"/>
    <w:rsid w:val="002C3801"/>
    <w:rsid w:val="002C792E"/>
    <w:rsid w:val="002D141C"/>
    <w:rsid w:val="002D1EF4"/>
    <w:rsid w:val="002F0727"/>
    <w:rsid w:val="002F4421"/>
    <w:rsid w:val="00302141"/>
    <w:rsid w:val="00311AB3"/>
    <w:rsid w:val="0031395C"/>
    <w:rsid w:val="00313A19"/>
    <w:rsid w:val="003300C9"/>
    <w:rsid w:val="00336BD5"/>
    <w:rsid w:val="00345476"/>
    <w:rsid w:val="0035137D"/>
    <w:rsid w:val="00352BDB"/>
    <w:rsid w:val="00353ED3"/>
    <w:rsid w:val="0035655E"/>
    <w:rsid w:val="0037318C"/>
    <w:rsid w:val="00374ADE"/>
    <w:rsid w:val="00394498"/>
    <w:rsid w:val="0039519A"/>
    <w:rsid w:val="003A3DAE"/>
    <w:rsid w:val="003A4C9E"/>
    <w:rsid w:val="003A5DD9"/>
    <w:rsid w:val="003B2D7F"/>
    <w:rsid w:val="003C19BB"/>
    <w:rsid w:val="003D0851"/>
    <w:rsid w:val="003D4588"/>
    <w:rsid w:val="00401298"/>
    <w:rsid w:val="00403843"/>
    <w:rsid w:val="00406259"/>
    <w:rsid w:val="0040727C"/>
    <w:rsid w:val="004174DD"/>
    <w:rsid w:val="004176BE"/>
    <w:rsid w:val="00420BF6"/>
    <w:rsid w:val="00430DBD"/>
    <w:rsid w:val="004313B7"/>
    <w:rsid w:val="00440790"/>
    <w:rsid w:val="00444453"/>
    <w:rsid w:val="00455FD5"/>
    <w:rsid w:val="00462454"/>
    <w:rsid w:val="00481D66"/>
    <w:rsid w:val="00485113"/>
    <w:rsid w:val="00487FC2"/>
    <w:rsid w:val="004A4BFD"/>
    <w:rsid w:val="004A4FFA"/>
    <w:rsid w:val="004A6B3F"/>
    <w:rsid w:val="004C0525"/>
    <w:rsid w:val="004D7D3F"/>
    <w:rsid w:val="004E14CF"/>
    <w:rsid w:val="004F6564"/>
    <w:rsid w:val="00502279"/>
    <w:rsid w:val="005135EA"/>
    <w:rsid w:val="0052132F"/>
    <w:rsid w:val="005260BC"/>
    <w:rsid w:val="00530EE1"/>
    <w:rsid w:val="0053210D"/>
    <w:rsid w:val="00552FF9"/>
    <w:rsid w:val="00560C6A"/>
    <w:rsid w:val="00584141"/>
    <w:rsid w:val="00586645"/>
    <w:rsid w:val="00587D6B"/>
    <w:rsid w:val="005A4788"/>
    <w:rsid w:val="005A4B49"/>
    <w:rsid w:val="005B26DE"/>
    <w:rsid w:val="005B3CCC"/>
    <w:rsid w:val="005B412A"/>
    <w:rsid w:val="005C584C"/>
    <w:rsid w:val="005D3DB0"/>
    <w:rsid w:val="005E595B"/>
    <w:rsid w:val="005E7046"/>
    <w:rsid w:val="005E7D5E"/>
    <w:rsid w:val="005F46E0"/>
    <w:rsid w:val="005F6616"/>
    <w:rsid w:val="006023D9"/>
    <w:rsid w:val="00605105"/>
    <w:rsid w:val="006068E3"/>
    <w:rsid w:val="00615AA1"/>
    <w:rsid w:val="00616A95"/>
    <w:rsid w:val="00627D97"/>
    <w:rsid w:val="006358FC"/>
    <w:rsid w:val="0063730C"/>
    <w:rsid w:val="0064138B"/>
    <w:rsid w:val="0065019A"/>
    <w:rsid w:val="00654F2A"/>
    <w:rsid w:val="006563A0"/>
    <w:rsid w:val="00665E42"/>
    <w:rsid w:val="00665FC9"/>
    <w:rsid w:val="00671F81"/>
    <w:rsid w:val="0068476F"/>
    <w:rsid w:val="006954AB"/>
    <w:rsid w:val="00696191"/>
    <w:rsid w:val="006B3348"/>
    <w:rsid w:val="006B3548"/>
    <w:rsid w:val="006B6B05"/>
    <w:rsid w:val="006B6B3E"/>
    <w:rsid w:val="006C747B"/>
    <w:rsid w:val="00705FAA"/>
    <w:rsid w:val="00713A21"/>
    <w:rsid w:val="007260A7"/>
    <w:rsid w:val="007314A2"/>
    <w:rsid w:val="00737E2D"/>
    <w:rsid w:val="0074027F"/>
    <w:rsid w:val="00740C73"/>
    <w:rsid w:val="00744F2D"/>
    <w:rsid w:val="007611C9"/>
    <w:rsid w:val="00762720"/>
    <w:rsid w:val="0077148F"/>
    <w:rsid w:val="007807DF"/>
    <w:rsid w:val="00787B29"/>
    <w:rsid w:val="0079309E"/>
    <w:rsid w:val="007A0EB6"/>
    <w:rsid w:val="007A16C5"/>
    <w:rsid w:val="007B22D4"/>
    <w:rsid w:val="007B5003"/>
    <w:rsid w:val="007C54E1"/>
    <w:rsid w:val="007D1E64"/>
    <w:rsid w:val="007E5349"/>
    <w:rsid w:val="007F0067"/>
    <w:rsid w:val="00815C4A"/>
    <w:rsid w:val="0082548F"/>
    <w:rsid w:val="008329DD"/>
    <w:rsid w:val="008436BA"/>
    <w:rsid w:val="00851275"/>
    <w:rsid w:val="00856686"/>
    <w:rsid w:val="008619BB"/>
    <w:rsid w:val="008643A3"/>
    <w:rsid w:val="00864C14"/>
    <w:rsid w:val="00867262"/>
    <w:rsid w:val="008674F5"/>
    <w:rsid w:val="0087471F"/>
    <w:rsid w:val="00881447"/>
    <w:rsid w:val="008940A0"/>
    <w:rsid w:val="008A0AF0"/>
    <w:rsid w:val="008A2A11"/>
    <w:rsid w:val="008A3458"/>
    <w:rsid w:val="008A790B"/>
    <w:rsid w:val="008B4411"/>
    <w:rsid w:val="008B4DA7"/>
    <w:rsid w:val="008C6A29"/>
    <w:rsid w:val="008D219F"/>
    <w:rsid w:val="008D60A2"/>
    <w:rsid w:val="008D70D4"/>
    <w:rsid w:val="008E1B16"/>
    <w:rsid w:val="008E3E07"/>
    <w:rsid w:val="008E5347"/>
    <w:rsid w:val="008E5819"/>
    <w:rsid w:val="008E66D0"/>
    <w:rsid w:val="008F2ACF"/>
    <w:rsid w:val="008F42BB"/>
    <w:rsid w:val="008F538D"/>
    <w:rsid w:val="008F5BBE"/>
    <w:rsid w:val="008F6CC3"/>
    <w:rsid w:val="00903181"/>
    <w:rsid w:val="00903748"/>
    <w:rsid w:val="00903B55"/>
    <w:rsid w:val="00931646"/>
    <w:rsid w:val="0093312B"/>
    <w:rsid w:val="00934417"/>
    <w:rsid w:val="00940CAA"/>
    <w:rsid w:val="00943E39"/>
    <w:rsid w:val="00944273"/>
    <w:rsid w:val="0094523D"/>
    <w:rsid w:val="0095059E"/>
    <w:rsid w:val="00955470"/>
    <w:rsid w:val="00965161"/>
    <w:rsid w:val="0097667D"/>
    <w:rsid w:val="0098781E"/>
    <w:rsid w:val="009923B1"/>
    <w:rsid w:val="009A05CF"/>
    <w:rsid w:val="009A09A8"/>
    <w:rsid w:val="009A6B8D"/>
    <w:rsid w:val="009C0F2C"/>
    <w:rsid w:val="009C46C7"/>
    <w:rsid w:val="009C6B80"/>
    <w:rsid w:val="009E0535"/>
    <w:rsid w:val="009E54FC"/>
    <w:rsid w:val="009E5644"/>
    <w:rsid w:val="009F4BE7"/>
    <w:rsid w:val="00A051E6"/>
    <w:rsid w:val="00A06577"/>
    <w:rsid w:val="00A3260B"/>
    <w:rsid w:val="00A34B2F"/>
    <w:rsid w:val="00A377D6"/>
    <w:rsid w:val="00A41F4B"/>
    <w:rsid w:val="00A447DB"/>
    <w:rsid w:val="00A5242A"/>
    <w:rsid w:val="00A55B08"/>
    <w:rsid w:val="00A740AF"/>
    <w:rsid w:val="00A8033B"/>
    <w:rsid w:val="00A812AA"/>
    <w:rsid w:val="00A83480"/>
    <w:rsid w:val="00A867EE"/>
    <w:rsid w:val="00A86806"/>
    <w:rsid w:val="00AA3277"/>
    <w:rsid w:val="00AB5F93"/>
    <w:rsid w:val="00AC3F27"/>
    <w:rsid w:val="00AC7805"/>
    <w:rsid w:val="00AD07D9"/>
    <w:rsid w:val="00AE3ECB"/>
    <w:rsid w:val="00AE6618"/>
    <w:rsid w:val="00AE67C8"/>
    <w:rsid w:val="00AE7EE3"/>
    <w:rsid w:val="00AF0010"/>
    <w:rsid w:val="00AF21C7"/>
    <w:rsid w:val="00B102B8"/>
    <w:rsid w:val="00B255CB"/>
    <w:rsid w:val="00B26D60"/>
    <w:rsid w:val="00B3186C"/>
    <w:rsid w:val="00B3525C"/>
    <w:rsid w:val="00B36E55"/>
    <w:rsid w:val="00B45E98"/>
    <w:rsid w:val="00B50ACF"/>
    <w:rsid w:val="00B54DBB"/>
    <w:rsid w:val="00B80D7B"/>
    <w:rsid w:val="00B84873"/>
    <w:rsid w:val="00B95DB9"/>
    <w:rsid w:val="00B97740"/>
    <w:rsid w:val="00BA1261"/>
    <w:rsid w:val="00BB7C1D"/>
    <w:rsid w:val="00BC27AE"/>
    <w:rsid w:val="00BC7119"/>
    <w:rsid w:val="00BF3175"/>
    <w:rsid w:val="00BF4DA2"/>
    <w:rsid w:val="00C17DED"/>
    <w:rsid w:val="00C205A6"/>
    <w:rsid w:val="00C30B44"/>
    <w:rsid w:val="00C364D2"/>
    <w:rsid w:val="00C44489"/>
    <w:rsid w:val="00C470D5"/>
    <w:rsid w:val="00C5283A"/>
    <w:rsid w:val="00C541AC"/>
    <w:rsid w:val="00C719F2"/>
    <w:rsid w:val="00C72F11"/>
    <w:rsid w:val="00C73E1E"/>
    <w:rsid w:val="00C76736"/>
    <w:rsid w:val="00C828E0"/>
    <w:rsid w:val="00C9212D"/>
    <w:rsid w:val="00C923FE"/>
    <w:rsid w:val="00C93627"/>
    <w:rsid w:val="00CA48A0"/>
    <w:rsid w:val="00CB31F1"/>
    <w:rsid w:val="00CC4E0F"/>
    <w:rsid w:val="00CD22E1"/>
    <w:rsid w:val="00CE67BD"/>
    <w:rsid w:val="00CF546B"/>
    <w:rsid w:val="00D16D87"/>
    <w:rsid w:val="00D2398D"/>
    <w:rsid w:val="00D26D4C"/>
    <w:rsid w:val="00D57DE4"/>
    <w:rsid w:val="00D87C97"/>
    <w:rsid w:val="00D91B26"/>
    <w:rsid w:val="00D92DC5"/>
    <w:rsid w:val="00DA43B9"/>
    <w:rsid w:val="00DB1C01"/>
    <w:rsid w:val="00DC092A"/>
    <w:rsid w:val="00DC3F8C"/>
    <w:rsid w:val="00DC6687"/>
    <w:rsid w:val="00DD42FF"/>
    <w:rsid w:val="00DD6CDC"/>
    <w:rsid w:val="00DE2A13"/>
    <w:rsid w:val="00DE413F"/>
    <w:rsid w:val="00DF71CD"/>
    <w:rsid w:val="00E0077B"/>
    <w:rsid w:val="00E008BD"/>
    <w:rsid w:val="00E05388"/>
    <w:rsid w:val="00E56E59"/>
    <w:rsid w:val="00E751B6"/>
    <w:rsid w:val="00E7794E"/>
    <w:rsid w:val="00EB29E5"/>
    <w:rsid w:val="00EB69B4"/>
    <w:rsid w:val="00EC3A8F"/>
    <w:rsid w:val="00ED1552"/>
    <w:rsid w:val="00ED15A6"/>
    <w:rsid w:val="00ED3FA6"/>
    <w:rsid w:val="00EE00E5"/>
    <w:rsid w:val="00EE1712"/>
    <w:rsid w:val="00EF7FF6"/>
    <w:rsid w:val="00F049F2"/>
    <w:rsid w:val="00F111A3"/>
    <w:rsid w:val="00F14BD8"/>
    <w:rsid w:val="00F15712"/>
    <w:rsid w:val="00F303C2"/>
    <w:rsid w:val="00F553DE"/>
    <w:rsid w:val="00F601A9"/>
    <w:rsid w:val="00F82BE4"/>
    <w:rsid w:val="00F8708E"/>
    <w:rsid w:val="00F87D7D"/>
    <w:rsid w:val="00F91C04"/>
    <w:rsid w:val="00F94EAD"/>
    <w:rsid w:val="00F974CD"/>
    <w:rsid w:val="00FA0705"/>
    <w:rsid w:val="00FA525E"/>
    <w:rsid w:val="00FB2908"/>
    <w:rsid w:val="00FB4592"/>
    <w:rsid w:val="00FB7316"/>
    <w:rsid w:val="00FD1E86"/>
    <w:rsid w:val="00FD4836"/>
    <w:rsid w:val="00FD68E7"/>
    <w:rsid w:val="00FD70C5"/>
    <w:rsid w:val="00FF306C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F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8476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">
    <w:name w:val="text"/>
    <w:basedOn w:val="Absatz-Standardschriftart"/>
    <w:rsid w:val="0068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31A02-693F-43E3-90C6-F6BFECE84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120</cp:revision>
  <cp:lastPrinted>2015-02-10T16:52:00Z</cp:lastPrinted>
  <dcterms:created xsi:type="dcterms:W3CDTF">2017-12-28T14:53:00Z</dcterms:created>
  <dcterms:modified xsi:type="dcterms:W3CDTF">2018-07-05T13:06:00Z</dcterms:modified>
</cp:coreProperties>
</file>