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81463" w14:textId="77777777" w:rsidR="00166846" w:rsidRDefault="007F0CA4">
      <w:pPr>
        <w:pStyle w:val="Titel"/>
      </w:pPr>
      <w:r w:rsidRPr="00BA35F8">
        <w:rPr>
          <w:lang w:val="la-Latn"/>
        </w:rPr>
        <w:t>De finibus bonorum et malorum</w:t>
      </w:r>
      <w:r>
        <w:t xml:space="preserve"> 1, 42 – 43: Verteidigung der Lehre Epikurs</w:t>
      </w:r>
    </w:p>
    <w:p w14:paraId="0262D96F" w14:textId="77777777" w:rsidR="00166846" w:rsidRDefault="007F0CA4">
      <w:pPr>
        <w:pStyle w:val="Textbodyuser"/>
      </w:pPr>
      <w:r>
        <w:rPr>
          <w:rStyle w:val="Hervorhebung"/>
        </w:rPr>
        <w:t>Die Philosophie Epikurs bezieht alles Handeln auf Lust und Schmerz und kann so irrationale Angst und Sorge beseitigen.</w:t>
      </w:r>
    </w:p>
    <w:p w14:paraId="253C2508" w14:textId="77777777" w:rsidR="00166846" w:rsidRDefault="007F0CA4">
      <w:pPr>
        <w:pStyle w:val="Textbodyuser"/>
      </w:pPr>
      <w:r>
        <w:t>Im ersten Buch lässt Cicero den Epikureer Torquatus zur Sprache kommen.</w:t>
      </w:r>
    </w:p>
    <w:p w14:paraId="0F65761C" w14:textId="77777777" w:rsidR="00166846" w:rsidRDefault="007F0CA4">
      <w:pPr>
        <w:pStyle w:val="Textbodyuser"/>
      </w:pPr>
      <w:r>
        <w:t xml:space="preserve">Grammatikthemen: </w:t>
      </w:r>
      <w:hyperlink r:id="rId7" w:history="1">
        <w:r w:rsidRPr="0023511E">
          <w:rPr>
            <w:rStyle w:val="Internetlink"/>
            <w:color w:val="0070C0"/>
          </w:rPr>
          <w:t>A</w:t>
        </w:r>
        <w:r w:rsidRPr="0023511E">
          <w:rPr>
            <w:rStyle w:val="Internetlink"/>
            <w:color w:val="0070C0"/>
          </w:rPr>
          <w:t>c</w:t>
        </w:r>
        <w:r w:rsidRPr="0023511E">
          <w:rPr>
            <w:rStyle w:val="Internetlink"/>
            <w:color w:val="0070C0"/>
          </w:rPr>
          <w:t>I</w:t>
        </w:r>
      </w:hyperlink>
      <w:r>
        <w:t xml:space="preserve">, </w:t>
      </w:r>
      <w:hyperlink r:id="rId8" w:history="1">
        <w:r w:rsidRPr="0023511E">
          <w:rPr>
            <w:rStyle w:val="Internetlink"/>
            <w:color w:val="0070C0"/>
          </w:rPr>
          <w:t>Gerundivko</w:t>
        </w:r>
        <w:r w:rsidRPr="0023511E">
          <w:rPr>
            <w:rStyle w:val="Internetlink"/>
            <w:color w:val="0070C0"/>
          </w:rPr>
          <w:t>n</w:t>
        </w:r>
        <w:r w:rsidRPr="0023511E">
          <w:rPr>
            <w:rStyle w:val="Internetlink"/>
            <w:color w:val="0070C0"/>
          </w:rPr>
          <w:t>struktionen</w:t>
        </w:r>
      </w:hyperlink>
      <w:r>
        <w:t>.</w:t>
      </w:r>
      <w:r>
        <w:rPr>
          <w:rStyle w:val="Funotenzeichen"/>
        </w:rPr>
        <w:footnoteReference w:id="1"/>
      </w:r>
      <w:r>
        <w:t xml:space="preserve"> Der Text ist vereinfacht; die Originalfassung kann man bei der Bibliothek </w:t>
      </w:r>
      <w:hyperlink r:id="rId9" w:anchor="13" w:history="1">
        <w:r w:rsidRPr="0023511E">
          <w:rPr>
            <w:color w:val="0070C0"/>
            <w:u w:val="single"/>
          </w:rPr>
          <w:t xml:space="preserve">PHI Latin </w:t>
        </w:r>
        <w:r w:rsidRPr="0023511E">
          <w:rPr>
            <w:color w:val="0070C0"/>
            <w:u w:val="single"/>
          </w:rPr>
          <w:t>T</w:t>
        </w:r>
        <w:r w:rsidRPr="0023511E">
          <w:rPr>
            <w:color w:val="0070C0"/>
            <w:u w:val="single"/>
          </w:rPr>
          <w:t>exts</w:t>
        </w:r>
      </w:hyperlink>
      <w:r>
        <w:t xml:space="preserve"> nachlesen.</w:t>
      </w:r>
    </w:p>
    <w:tbl>
      <w:tblPr>
        <w:tblW w:w="9694" w:type="dxa"/>
        <w:tblInd w:w="2" w:type="dxa"/>
        <w:tblLayout w:type="fixed"/>
        <w:tblCellMar>
          <w:left w:w="10" w:type="dxa"/>
          <w:right w:w="10" w:type="dxa"/>
        </w:tblCellMar>
        <w:tblLook w:val="04A0" w:firstRow="1" w:lastRow="0" w:firstColumn="1" w:lastColumn="0" w:noHBand="0" w:noVBand="1"/>
      </w:tblPr>
      <w:tblGrid>
        <w:gridCol w:w="6106"/>
        <w:gridCol w:w="3588"/>
      </w:tblGrid>
      <w:tr w:rsidR="00166846" w:rsidRPr="00625DBE" w14:paraId="73DBF014" w14:textId="77777777">
        <w:trPr>
          <w:cantSplit/>
        </w:trPr>
        <w:tc>
          <w:tcPr>
            <w:tcW w:w="6106" w:type="dxa"/>
            <w:tcBorders>
              <w:top w:val="single" w:sz="2" w:space="0" w:color="000000"/>
              <w:left w:val="single" w:sz="2" w:space="0" w:color="000000"/>
              <w:bottom w:val="single" w:sz="2" w:space="0" w:color="000000"/>
            </w:tcBorders>
            <w:tcMar>
              <w:top w:w="60" w:type="dxa"/>
              <w:left w:w="60" w:type="dxa"/>
              <w:bottom w:w="60" w:type="dxa"/>
              <w:right w:w="60" w:type="dxa"/>
            </w:tcMar>
            <w:vAlign w:val="center"/>
          </w:tcPr>
          <w:p w14:paraId="4270BE41" w14:textId="77777777" w:rsidR="00166846" w:rsidRPr="0023511E" w:rsidRDefault="007F0CA4" w:rsidP="00625DBE">
            <w:pPr>
              <w:pStyle w:val="Listenabsatz"/>
              <w:rPr>
                <w:lang w:val="la-Latn"/>
              </w:rPr>
            </w:pPr>
            <w:r w:rsidRPr="0023511E">
              <w:rPr>
                <w:lang w:val="la-Latn"/>
              </w:rPr>
              <w:t>Text</w:t>
            </w:r>
          </w:p>
        </w:tc>
        <w:tc>
          <w:tcPr>
            <w:tcW w:w="358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vAlign w:val="center"/>
          </w:tcPr>
          <w:p w14:paraId="7A3F9249" w14:textId="77777777" w:rsidR="00166846" w:rsidRPr="00625DBE" w:rsidRDefault="007F0CA4" w:rsidP="006167C6">
            <w:pPr>
              <w:pStyle w:val="Listenabsatz"/>
              <w:ind w:left="227" w:hanging="227"/>
              <w:rPr>
                <w:lang w:val="la-Latn"/>
              </w:rPr>
            </w:pPr>
            <w:r w:rsidRPr="00625DBE">
              <w:rPr>
                <w:lang w:val="la-Latn"/>
              </w:rPr>
              <w:t>Übersetzungshilfen</w:t>
            </w:r>
          </w:p>
        </w:tc>
      </w:tr>
      <w:tr w:rsidR="00166846" w14:paraId="7014F921" w14:textId="77777777">
        <w:trPr>
          <w:cantSplit/>
        </w:trPr>
        <w:tc>
          <w:tcPr>
            <w:tcW w:w="6106" w:type="dxa"/>
            <w:tcBorders>
              <w:left w:val="single" w:sz="2" w:space="0" w:color="000000"/>
              <w:bottom w:val="single" w:sz="2" w:space="0" w:color="000000"/>
            </w:tcBorders>
            <w:tcMar>
              <w:top w:w="60" w:type="dxa"/>
              <w:left w:w="60" w:type="dxa"/>
              <w:bottom w:w="60" w:type="dxa"/>
              <w:right w:w="60" w:type="dxa"/>
            </w:tcMar>
            <w:vAlign w:val="center"/>
          </w:tcPr>
          <w:p w14:paraId="57962F51" w14:textId="77777777" w:rsidR="00166846" w:rsidRPr="0023511E" w:rsidRDefault="007F0CA4">
            <w:pPr>
              <w:pStyle w:val="TableContents"/>
              <w:spacing w:after="283"/>
              <w:rPr>
                <w:lang w:val="la-Latn"/>
              </w:rPr>
            </w:pPr>
            <w:r w:rsidRPr="0023511E">
              <w:rPr>
                <w:lang w:val="la-Latn"/>
              </w:rPr>
              <w:t>De finibus 1, 42.</w:t>
            </w:r>
          </w:p>
          <w:p w14:paraId="37A2209A" w14:textId="77777777" w:rsidR="00166846" w:rsidRPr="0023511E" w:rsidRDefault="007F0CA4">
            <w:pPr>
              <w:pStyle w:val="TableContents"/>
              <w:spacing w:after="283"/>
              <w:rPr>
                <w:lang w:val="la-Latn"/>
              </w:rPr>
            </w:pPr>
            <w:r w:rsidRPr="0023511E">
              <w:rPr>
                <w:lang w:val="la-Latn"/>
              </w:rPr>
              <w:t>Praeterea initia et appetendi et refugiendi et omnino rerum gerendarum proficiscuntur aut a voluptate aut a dolore.</w:t>
            </w:r>
          </w:p>
        </w:tc>
        <w:tc>
          <w:tcPr>
            <w:tcW w:w="3588" w:type="dxa"/>
            <w:tcBorders>
              <w:left w:val="single" w:sz="2" w:space="0" w:color="000000"/>
              <w:bottom w:val="single" w:sz="2" w:space="0" w:color="000000"/>
              <w:right w:val="single" w:sz="2" w:space="0" w:color="000000"/>
            </w:tcBorders>
            <w:tcMar>
              <w:top w:w="60" w:type="dxa"/>
              <w:left w:w="60" w:type="dxa"/>
              <w:bottom w:w="60" w:type="dxa"/>
              <w:right w:w="60" w:type="dxa"/>
            </w:tcMar>
            <w:vAlign w:val="center"/>
          </w:tcPr>
          <w:p w14:paraId="61C9762E" w14:textId="2F366767" w:rsidR="00166846" w:rsidRPr="00625DBE" w:rsidRDefault="00F53226" w:rsidP="006167C6">
            <w:pPr>
              <w:pStyle w:val="TableContents"/>
              <w:spacing w:before="80" w:after="0" w:line="240" w:lineRule="auto"/>
              <w:ind w:left="227" w:hanging="227"/>
              <w:rPr>
                <w:lang w:val="la-Latn"/>
              </w:rPr>
            </w:pPr>
            <w:r w:rsidRPr="00F53226">
              <w:rPr>
                <w:sz w:val="20"/>
                <w:lang w:val="la-Latn"/>
              </w:rPr>
              <w:t>proficīscī</w:t>
            </w:r>
            <w:r w:rsidRPr="00F53226">
              <w:rPr>
                <w:sz w:val="20"/>
                <w:lang w:val="la-Latn"/>
              </w:rPr>
              <w:t xml:space="preserve"> </w:t>
            </w:r>
            <w:r w:rsidR="007F0CA4" w:rsidRPr="00625DBE">
              <w:rPr>
                <w:i/>
                <w:sz w:val="20"/>
                <w:lang w:val="la-Latn"/>
              </w:rPr>
              <w:t>ab aliqua re</w:t>
            </w:r>
            <w:r w:rsidR="007F0CA4" w:rsidRPr="00625DBE">
              <w:rPr>
                <w:sz w:val="20"/>
                <w:lang w:val="la-Latn"/>
              </w:rPr>
              <w:t xml:space="preserve">: </w:t>
            </w:r>
            <w:r w:rsidR="007F0CA4" w:rsidRPr="00625DBE">
              <w:rPr>
                <w:i/>
                <w:sz w:val="20"/>
                <w:lang w:val="la-Latn"/>
              </w:rPr>
              <w:t>mit etwas</w:t>
            </w:r>
            <w:r w:rsidR="007F0CA4" w:rsidRPr="00625DBE">
              <w:rPr>
                <w:sz w:val="20"/>
                <w:lang w:val="la-Latn"/>
              </w:rPr>
              <w:t xml:space="preserve"> beginnen</w:t>
            </w:r>
          </w:p>
          <w:p w14:paraId="08C7B26F" w14:textId="77777777" w:rsidR="00166846" w:rsidRPr="00625DBE" w:rsidRDefault="007F0CA4" w:rsidP="006167C6">
            <w:pPr>
              <w:pStyle w:val="TableContents"/>
              <w:spacing w:before="80" w:after="0" w:line="240" w:lineRule="auto"/>
              <w:ind w:left="227" w:hanging="227"/>
              <w:rPr>
                <w:sz w:val="20"/>
                <w:lang w:val="la-Latn"/>
              </w:rPr>
            </w:pPr>
            <w:r w:rsidRPr="00625DBE">
              <w:rPr>
                <w:sz w:val="20"/>
                <w:lang w:val="la-Latn"/>
              </w:rPr>
              <w:t>res gerendae: die Taten</w:t>
            </w:r>
          </w:p>
        </w:tc>
      </w:tr>
      <w:tr w:rsidR="00166846" w14:paraId="4CE309FB" w14:textId="77777777">
        <w:trPr>
          <w:cantSplit/>
        </w:trPr>
        <w:tc>
          <w:tcPr>
            <w:tcW w:w="6106" w:type="dxa"/>
            <w:tcBorders>
              <w:left w:val="single" w:sz="2" w:space="0" w:color="000000"/>
              <w:bottom w:val="single" w:sz="2" w:space="0" w:color="000000"/>
            </w:tcBorders>
            <w:tcMar>
              <w:top w:w="60" w:type="dxa"/>
              <w:left w:w="60" w:type="dxa"/>
              <w:bottom w:w="60" w:type="dxa"/>
              <w:right w:w="60" w:type="dxa"/>
            </w:tcMar>
            <w:vAlign w:val="center"/>
          </w:tcPr>
          <w:p w14:paraId="6FA658A7" w14:textId="77777777" w:rsidR="00166846" w:rsidRPr="0023511E" w:rsidRDefault="007F0CA4">
            <w:pPr>
              <w:pStyle w:val="TableContents"/>
              <w:spacing w:after="283"/>
              <w:rPr>
                <w:lang w:val="la-Latn"/>
              </w:rPr>
            </w:pPr>
            <w:r w:rsidRPr="0023511E">
              <w:rPr>
                <w:lang w:val="la-Latn"/>
              </w:rPr>
              <w:t>Quod cum ita sit, perspicuum est omnes rectas res atque laudabiles eo referri, ut cum voluptate vivatur.</w:t>
            </w:r>
          </w:p>
        </w:tc>
        <w:tc>
          <w:tcPr>
            <w:tcW w:w="3588" w:type="dxa"/>
            <w:tcBorders>
              <w:left w:val="single" w:sz="2" w:space="0" w:color="000000"/>
              <w:bottom w:val="single" w:sz="2" w:space="0" w:color="000000"/>
              <w:right w:val="single" w:sz="2" w:space="0" w:color="000000"/>
            </w:tcBorders>
            <w:tcMar>
              <w:top w:w="60" w:type="dxa"/>
              <w:left w:w="60" w:type="dxa"/>
              <w:bottom w:w="60" w:type="dxa"/>
              <w:right w:w="60" w:type="dxa"/>
            </w:tcMar>
            <w:vAlign w:val="center"/>
          </w:tcPr>
          <w:p w14:paraId="5BA3EDA3" w14:textId="77777777" w:rsidR="00166846" w:rsidRPr="00625DBE" w:rsidRDefault="007F0CA4" w:rsidP="006167C6">
            <w:pPr>
              <w:pStyle w:val="TableContents"/>
              <w:spacing w:before="80" w:after="0" w:line="240" w:lineRule="auto"/>
              <w:ind w:left="227" w:hanging="227"/>
              <w:rPr>
                <w:sz w:val="20"/>
                <w:lang w:val="la-Latn"/>
              </w:rPr>
            </w:pPr>
            <w:r w:rsidRPr="00625DBE">
              <w:rPr>
                <w:sz w:val="20"/>
                <w:lang w:val="la-Latn"/>
              </w:rPr>
              <w:t>perspicuum: offenkundig</w:t>
            </w:r>
          </w:p>
          <w:p w14:paraId="3AE06081" w14:textId="77777777" w:rsidR="00166846" w:rsidRPr="00625DBE" w:rsidRDefault="007F0CA4" w:rsidP="006167C6">
            <w:pPr>
              <w:pStyle w:val="TableContents"/>
              <w:spacing w:before="80" w:after="0" w:line="240" w:lineRule="auto"/>
              <w:ind w:left="227" w:hanging="227"/>
              <w:rPr>
                <w:sz w:val="20"/>
                <w:lang w:val="la-Latn"/>
              </w:rPr>
            </w:pPr>
            <w:r w:rsidRPr="00625DBE">
              <w:rPr>
                <w:sz w:val="20"/>
                <w:lang w:val="la-Latn"/>
              </w:rPr>
              <w:t>eo referri, ut: dorthin / auf das Ziel ausgerichtet sein, dass</w:t>
            </w:r>
          </w:p>
        </w:tc>
      </w:tr>
      <w:tr w:rsidR="00166846" w14:paraId="2F88BB68" w14:textId="77777777">
        <w:trPr>
          <w:cantSplit/>
        </w:trPr>
        <w:tc>
          <w:tcPr>
            <w:tcW w:w="6106" w:type="dxa"/>
            <w:tcBorders>
              <w:left w:val="single" w:sz="2" w:space="0" w:color="000000"/>
              <w:bottom w:val="single" w:sz="2" w:space="0" w:color="000000"/>
            </w:tcBorders>
            <w:tcMar>
              <w:top w:w="60" w:type="dxa"/>
              <w:left w:w="60" w:type="dxa"/>
              <w:bottom w:w="60" w:type="dxa"/>
              <w:right w:w="60" w:type="dxa"/>
            </w:tcMar>
            <w:vAlign w:val="center"/>
          </w:tcPr>
          <w:p w14:paraId="3D02C936" w14:textId="77777777" w:rsidR="00166846" w:rsidRPr="0023511E" w:rsidRDefault="007F0CA4">
            <w:pPr>
              <w:pStyle w:val="TableContents"/>
              <w:spacing w:after="283"/>
              <w:rPr>
                <w:lang w:val="la-Latn"/>
              </w:rPr>
            </w:pPr>
            <w:r w:rsidRPr="0023511E">
              <w:rPr>
                <w:lang w:val="la-Latn"/>
              </w:rPr>
              <w:t>Quoniam autem id est vel summum bonorum vel ultimum vel extremum – quod Graeci τέλος (</w:t>
            </w:r>
            <w:r w:rsidRPr="0023511E">
              <w:rPr>
                <w:i/>
                <w:lang w:val="la-Latn"/>
              </w:rPr>
              <w:t>telos</w:t>
            </w:r>
            <w:r w:rsidRPr="0023511E">
              <w:rPr>
                <w:lang w:val="la-Latn"/>
              </w:rPr>
              <w:t>) nominant –, quod ipsum nullam ad aliam rem, ad id autem res referuntur omnes, fatendum est summum esse bonum iucunde vivere.</w:t>
            </w:r>
          </w:p>
        </w:tc>
        <w:tc>
          <w:tcPr>
            <w:tcW w:w="3588" w:type="dxa"/>
            <w:tcBorders>
              <w:left w:val="single" w:sz="2" w:space="0" w:color="000000"/>
              <w:bottom w:val="single" w:sz="2" w:space="0" w:color="000000"/>
              <w:right w:val="single" w:sz="2" w:space="0" w:color="000000"/>
            </w:tcBorders>
            <w:tcMar>
              <w:top w:w="60" w:type="dxa"/>
              <w:left w:w="60" w:type="dxa"/>
              <w:bottom w:w="60" w:type="dxa"/>
              <w:right w:w="60" w:type="dxa"/>
            </w:tcMar>
            <w:vAlign w:val="center"/>
          </w:tcPr>
          <w:p w14:paraId="2EEDED17" w14:textId="77777777" w:rsidR="00166846" w:rsidRPr="00625DBE" w:rsidRDefault="007F0CA4" w:rsidP="006167C6">
            <w:pPr>
              <w:pStyle w:val="TableContents"/>
              <w:spacing w:before="80" w:after="0" w:line="240" w:lineRule="auto"/>
              <w:ind w:left="227" w:hanging="227"/>
              <w:rPr>
                <w:sz w:val="20"/>
                <w:lang w:val="la-Latn"/>
              </w:rPr>
            </w:pPr>
            <w:r w:rsidRPr="00625DBE">
              <w:rPr>
                <w:sz w:val="20"/>
                <w:lang w:val="la-Latn"/>
              </w:rPr>
              <w:t>referri: siehe Anmerkung oben</w:t>
            </w:r>
          </w:p>
          <w:p w14:paraId="78AD6857" w14:textId="5B5093F9" w:rsidR="00166846" w:rsidRPr="00625DBE" w:rsidRDefault="007F0CA4" w:rsidP="006167C6">
            <w:pPr>
              <w:pStyle w:val="TableContents"/>
              <w:spacing w:before="80" w:after="0" w:line="240" w:lineRule="auto"/>
              <w:ind w:left="227" w:hanging="227"/>
              <w:rPr>
                <w:sz w:val="20"/>
                <w:lang w:val="la-Latn"/>
              </w:rPr>
            </w:pPr>
            <w:r w:rsidRPr="00625DBE">
              <w:rPr>
                <w:i/>
                <w:sz w:val="20"/>
                <w:lang w:val="la-Latn"/>
              </w:rPr>
              <w:t>telos</w:t>
            </w:r>
            <w:r w:rsidRPr="00625DBE">
              <w:rPr>
                <w:sz w:val="20"/>
                <w:lang w:val="la-Latn"/>
              </w:rPr>
              <w:t xml:space="preserve"> (</w:t>
            </w:r>
            <w:r w:rsidR="0023511E">
              <w:t>τέλος</w:t>
            </w:r>
            <w:r w:rsidR="0023511E">
              <w:t>;</w:t>
            </w:r>
            <w:r w:rsidR="0023511E" w:rsidRPr="00625DBE">
              <w:rPr>
                <w:sz w:val="20"/>
                <w:lang w:val="la-Latn"/>
              </w:rPr>
              <w:t xml:space="preserve"> </w:t>
            </w:r>
            <w:r w:rsidRPr="00625DBE">
              <w:rPr>
                <w:sz w:val="20"/>
                <w:lang w:val="la-Latn"/>
              </w:rPr>
              <w:t>griechisch): das Ziel</w:t>
            </w:r>
          </w:p>
        </w:tc>
      </w:tr>
      <w:tr w:rsidR="00166846" w14:paraId="46F65670" w14:textId="77777777">
        <w:trPr>
          <w:cantSplit/>
        </w:trPr>
        <w:tc>
          <w:tcPr>
            <w:tcW w:w="6106" w:type="dxa"/>
            <w:tcBorders>
              <w:left w:val="single" w:sz="2" w:space="0" w:color="000000"/>
              <w:bottom w:val="single" w:sz="2" w:space="0" w:color="000000"/>
            </w:tcBorders>
            <w:tcMar>
              <w:top w:w="60" w:type="dxa"/>
              <w:left w:w="60" w:type="dxa"/>
              <w:bottom w:w="60" w:type="dxa"/>
              <w:right w:w="60" w:type="dxa"/>
            </w:tcMar>
            <w:vAlign w:val="center"/>
          </w:tcPr>
          <w:p w14:paraId="2B8A4A8B" w14:textId="77777777" w:rsidR="00166846" w:rsidRPr="0023511E" w:rsidRDefault="007F0CA4">
            <w:pPr>
              <w:pStyle w:val="TableContents"/>
              <w:spacing w:after="283"/>
              <w:rPr>
                <w:lang w:val="la-Latn"/>
              </w:rPr>
            </w:pPr>
            <w:r w:rsidRPr="0023511E">
              <w:rPr>
                <w:lang w:val="la-Latn"/>
              </w:rPr>
              <w:t>Illi autem, qui id in una virtute ponunt et splendore nominis capti non intellegunt, quid natura postulet, errore maximo liberabuntur, si Epicurum audire voluerint:</w:t>
            </w:r>
          </w:p>
        </w:tc>
        <w:tc>
          <w:tcPr>
            <w:tcW w:w="3588" w:type="dxa"/>
            <w:tcBorders>
              <w:left w:val="single" w:sz="2" w:space="0" w:color="000000"/>
              <w:bottom w:val="single" w:sz="2" w:space="0" w:color="000000"/>
              <w:right w:val="single" w:sz="2" w:space="0" w:color="000000"/>
            </w:tcBorders>
            <w:tcMar>
              <w:top w:w="60" w:type="dxa"/>
              <w:left w:w="60" w:type="dxa"/>
              <w:bottom w:w="60" w:type="dxa"/>
              <w:right w:w="60" w:type="dxa"/>
            </w:tcMar>
            <w:vAlign w:val="center"/>
          </w:tcPr>
          <w:p w14:paraId="735A6E17" w14:textId="77777777" w:rsidR="00166846" w:rsidRPr="00625DBE" w:rsidRDefault="007F0CA4" w:rsidP="006167C6">
            <w:pPr>
              <w:pStyle w:val="TableContents"/>
              <w:spacing w:before="80" w:after="0" w:line="240" w:lineRule="auto"/>
              <w:ind w:left="227" w:hanging="227"/>
              <w:rPr>
                <w:lang w:val="la-Latn"/>
              </w:rPr>
            </w:pPr>
            <w:r w:rsidRPr="00625DBE">
              <w:rPr>
                <w:sz w:val="20"/>
                <w:lang w:val="la-Latn"/>
              </w:rPr>
              <w:t xml:space="preserve">in ūnā virtūte: </w:t>
            </w:r>
            <w:r w:rsidRPr="00625DBE">
              <w:rPr>
                <w:rStyle w:val="Hervorhebung"/>
                <w:i w:val="0"/>
                <w:iCs w:val="0"/>
                <w:sz w:val="20"/>
                <w:lang w:val="la-Latn"/>
              </w:rPr>
              <w:t>ūnus</w:t>
            </w:r>
            <w:r w:rsidRPr="00625DBE">
              <w:rPr>
                <w:sz w:val="20"/>
                <w:lang w:val="la-Latn"/>
              </w:rPr>
              <w:t xml:space="preserve"> </w:t>
            </w:r>
            <w:r w:rsidRPr="00625DBE">
              <w:rPr>
                <w:i/>
                <w:sz w:val="20"/>
                <w:lang w:val="la-Latn"/>
              </w:rPr>
              <w:t>bedeutet hier</w:t>
            </w:r>
            <w:r w:rsidRPr="00625DBE">
              <w:rPr>
                <w:sz w:val="20"/>
                <w:lang w:val="la-Latn"/>
              </w:rPr>
              <w:t xml:space="preserve"> einzig und allein/nur</w:t>
            </w:r>
          </w:p>
          <w:p w14:paraId="6F3E6003" w14:textId="77777777" w:rsidR="00166846" w:rsidRPr="00625DBE" w:rsidRDefault="007F0CA4" w:rsidP="006167C6">
            <w:pPr>
              <w:pStyle w:val="TableContents"/>
              <w:spacing w:before="80" w:after="0" w:line="240" w:lineRule="auto"/>
              <w:ind w:left="227" w:hanging="227"/>
              <w:rPr>
                <w:lang w:val="la-Latn"/>
              </w:rPr>
            </w:pPr>
            <w:r w:rsidRPr="00625DBE">
              <w:rPr>
                <w:sz w:val="20"/>
                <w:lang w:val="la-Latn"/>
              </w:rPr>
              <w:t xml:space="preserve">splendor, splendōris, </w:t>
            </w:r>
            <w:r w:rsidRPr="00625DBE">
              <w:rPr>
                <w:i/>
                <w:sz w:val="20"/>
                <w:lang w:val="la-Latn"/>
              </w:rPr>
              <w:t>m.</w:t>
            </w:r>
            <w:r w:rsidRPr="00625DBE">
              <w:rPr>
                <w:sz w:val="20"/>
                <w:lang w:val="la-Latn"/>
              </w:rPr>
              <w:t>: der Glanz</w:t>
            </w:r>
          </w:p>
        </w:tc>
      </w:tr>
      <w:tr w:rsidR="00166846" w14:paraId="03F3F6E2" w14:textId="77777777">
        <w:trPr>
          <w:cantSplit/>
        </w:trPr>
        <w:tc>
          <w:tcPr>
            <w:tcW w:w="6106" w:type="dxa"/>
            <w:tcBorders>
              <w:left w:val="single" w:sz="2" w:space="0" w:color="000000"/>
              <w:bottom w:val="single" w:sz="2" w:space="0" w:color="000000"/>
            </w:tcBorders>
            <w:tcMar>
              <w:top w:w="60" w:type="dxa"/>
              <w:left w:w="60" w:type="dxa"/>
              <w:bottom w:w="60" w:type="dxa"/>
              <w:right w:w="60" w:type="dxa"/>
            </w:tcMar>
            <w:vAlign w:val="center"/>
          </w:tcPr>
          <w:p w14:paraId="735EF08F" w14:textId="77777777" w:rsidR="00166846" w:rsidRPr="0023511E" w:rsidRDefault="007F0CA4">
            <w:pPr>
              <w:pStyle w:val="TableContents"/>
              <w:spacing w:after="283"/>
              <w:rPr>
                <w:lang w:val="la-Latn"/>
              </w:rPr>
            </w:pPr>
            <w:r w:rsidRPr="0023511E">
              <w:rPr>
                <w:lang w:val="la-Latn"/>
              </w:rPr>
              <w:t>Nisi enim istae vestrae eximiae pulchraeque virtutes voluptatem efficerent, quis eas aut laudabiles aut expetendas arbitraretur?</w:t>
            </w:r>
          </w:p>
        </w:tc>
        <w:tc>
          <w:tcPr>
            <w:tcW w:w="3588" w:type="dxa"/>
            <w:tcBorders>
              <w:left w:val="single" w:sz="2" w:space="0" w:color="000000"/>
              <w:bottom w:val="single" w:sz="2" w:space="0" w:color="000000"/>
              <w:right w:val="single" w:sz="2" w:space="0" w:color="000000"/>
            </w:tcBorders>
            <w:tcMar>
              <w:top w:w="60" w:type="dxa"/>
              <w:left w:w="60" w:type="dxa"/>
              <w:bottom w:w="60" w:type="dxa"/>
              <w:right w:w="60" w:type="dxa"/>
            </w:tcMar>
            <w:vAlign w:val="center"/>
          </w:tcPr>
          <w:p w14:paraId="1C3F910B" w14:textId="77777777" w:rsidR="00166846" w:rsidRPr="00625DBE" w:rsidRDefault="007F0CA4" w:rsidP="006167C6">
            <w:pPr>
              <w:pStyle w:val="TableContents"/>
              <w:spacing w:before="80" w:after="0" w:line="240" w:lineRule="auto"/>
              <w:ind w:left="227" w:hanging="227"/>
              <w:rPr>
                <w:lang w:val="la-Latn"/>
              </w:rPr>
            </w:pPr>
            <w:r w:rsidRPr="00625DBE">
              <w:rPr>
                <w:sz w:val="20"/>
                <w:lang w:val="la-Latn"/>
              </w:rPr>
              <w:t xml:space="preserve">eximius: großartig. </w:t>
            </w:r>
            <w:r w:rsidRPr="00625DBE">
              <w:rPr>
                <w:i/>
                <w:sz w:val="20"/>
                <w:lang w:val="la-Latn"/>
              </w:rPr>
              <w:t xml:space="preserve">Die Bezeichnung der </w:t>
            </w:r>
            <w:r w:rsidRPr="00625DBE">
              <w:rPr>
                <w:rStyle w:val="Hervorhebung"/>
                <w:i w:val="0"/>
                <w:sz w:val="20"/>
                <w:lang w:val="la-Latn"/>
              </w:rPr>
              <w:t>virtutes</w:t>
            </w:r>
            <w:r w:rsidRPr="00625DBE">
              <w:rPr>
                <w:i/>
                <w:sz w:val="20"/>
                <w:lang w:val="la-Latn"/>
              </w:rPr>
              <w:t xml:space="preserve"> als </w:t>
            </w:r>
            <w:r w:rsidRPr="00625DBE">
              <w:rPr>
                <w:rStyle w:val="Hervorhebung"/>
                <w:i w:val="0"/>
                <w:sz w:val="20"/>
                <w:lang w:val="la-Latn"/>
              </w:rPr>
              <w:t>eximiae</w:t>
            </w:r>
            <w:r w:rsidRPr="00625DBE">
              <w:rPr>
                <w:i/>
                <w:sz w:val="20"/>
                <w:lang w:val="la-Latn"/>
              </w:rPr>
              <w:t xml:space="preserve"> und </w:t>
            </w:r>
            <w:r w:rsidRPr="00625DBE">
              <w:rPr>
                <w:rStyle w:val="Hervorhebung"/>
                <w:i w:val="0"/>
                <w:sz w:val="20"/>
                <w:lang w:val="la-Latn"/>
              </w:rPr>
              <w:t>pulchrae</w:t>
            </w:r>
            <w:r w:rsidRPr="00625DBE">
              <w:rPr>
                <w:i/>
                <w:sz w:val="20"/>
                <w:lang w:val="la-Latn"/>
              </w:rPr>
              <w:t xml:space="preserve"> ist sarkastisch (oder ironisch) zu verstehen.</w:t>
            </w:r>
          </w:p>
          <w:p w14:paraId="4DAC0679" w14:textId="77777777" w:rsidR="00166846" w:rsidRPr="00625DBE" w:rsidRDefault="007F0CA4" w:rsidP="006167C6">
            <w:pPr>
              <w:pStyle w:val="TableContents"/>
              <w:spacing w:before="80" w:after="0" w:line="240" w:lineRule="auto"/>
              <w:ind w:left="227" w:hanging="227"/>
              <w:rPr>
                <w:lang w:val="la-Latn"/>
              </w:rPr>
            </w:pPr>
            <w:r w:rsidRPr="00625DBE">
              <w:rPr>
                <w:sz w:val="20"/>
                <w:lang w:val="la-Latn"/>
              </w:rPr>
              <w:t xml:space="preserve">arbitrārī </w:t>
            </w:r>
            <w:r w:rsidRPr="00625DBE">
              <w:rPr>
                <w:i/>
                <w:sz w:val="20"/>
                <w:lang w:val="la-Latn"/>
              </w:rPr>
              <w:t>mit doppeltem Akkusativ</w:t>
            </w:r>
            <w:r w:rsidRPr="00625DBE">
              <w:rPr>
                <w:sz w:val="20"/>
                <w:lang w:val="la-Latn"/>
              </w:rPr>
              <w:t xml:space="preserve">: </w:t>
            </w:r>
            <w:r w:rsidRPr="00625DBE">
              <w:rPr>
                <w:i/>
                <w:sz w:val="20"/>
                <w:lang w:val="la-Latn"/>
              </w:rPr>
              <w:t>etw.</w:t>
            </w:r>
            <w:r w:rsidRPr="00625DBE">
              <w:rPr>
                <w:sz w:val="20"/>
                <w:lang w:val="la-Latn"/>
              </w:rPr>
              <w:t xml:space="preserve"> halten </w:t>
            </w:r>
            <w:r w:rsidRPr="00625DBE">
              <w:rPr>
                <w:i/>
                <w:sz w:val="20"/>
                <w:lang w:val="la-Latn"/>
              </w:rPr>
              <w:t>für</w:t>
            </w:r>
          </w:p>
          <w:p w14:paraId="5B8121A1" w14:textId="77777777" w:rsidR="00166846" w:rsidRPr="00625DBE" w:rsidRDefault="007F0CA4" w:rsidP="006167C6">
            <w:pPr>
              <w:pStyle w:val="TableContents"/>
              <w:spacing w:before="80" w:after="0" w:line="240" w:lineRule="auto"/>
              <w:ind w:left="227" w:hanging="227"/>
              <w:rPr>
                <w:sz w:val="20"/>
                <w:lang w:val="la-Latn"/>
              </w:rPr>
            </w:pPr>
            <w:r w:rsidRPr="00625DBE">
              <w:rPr>
                <w:sz w:val="20"/>
                <w:lang w:val="la-Latn"/>
              </w:rPr>
              <w:t>expetere, expetō, expetīvī, expetītum: erstreben</w:t>
            </w:r>
          </w:p>
        </w:tc>
      </w:tr>
      <w:tr w:rsidR="00166846" w14:paraId="4FBEFA10" w14:textId="77777777">
        <w:trPr>
          <w:cantSplit/>
        </w:trPr>
        <w:tc>
          <w:tcPr>
            <w:tcW w:w="6106" w:type="dxa"/>
            <w:tcBorders>
              <w:left w:val="single" w:sz="2" w:space="0" w:color="000000"/>
              <w:bottom w:val="single" w:sz="2" w:space="0" w:color="000000"/>
            </w:tcBorders>
            <w:tcMar>
              <w:top w:w="60" w:type="dxa"/>
              <w:left w:w="60" w:type="dxa"/>
              <w:bottom w:w="60" w:type="dxa"/>
              <w:right w:w="60" w:type="dxa"/>
            </w:tcMar>
            <w:vAlign w:val="center"/>
          </w:tcPr>
          <w:p w14:paraId="4152E3F7" w14:textId="77777777" w:rsidR="00166846" w:rsidRPr="0023511E" w:rsidRDefault="007F0CA4">
            <w:pPr>
              <w:pStyle w:val="TableContents"/>
              <w:spacing w:after="283"/>
              <w:rPr>
                <w:lang w:val="la-Latn"/>
              </w:rPr>
            </w:pPr>
            <w:r w:rsidRPr="0023511E">
              <w:rPr>
                <w:lang w:val="la-Latn"/>
              </w:rPr>
              <w:lastRenderedPageBreak/>
              <w:t>Ut enim medicorum scientiam non ipsius artis, sed bonae valetudinis causa probamus, et gubernatoris ars, quia bene navigandi rationem habet, utilitate, non arte laudatur, sic sapientia, quae ars vivendi putanda est, non expeteretur, si nihil efficeret.</w:t>
            </w:r>
          </w:p>
        </w:tc>
        <w:tc>
          <w:tcPr>
            <w:tcW w:w="3588" w:type="dxa"/>
            <w:tcBorders>
              <w:left w:val="single" w:sz="2" w:space="0" w:color="000000"/>
              <w:bottom w:val="single" w:sz="2" w:space="0" w:color="000000"/>
              <w:right w:val="single" w:sz="2" w:space="0" w:color="000000"/>
            </w:tcBorders>
            <w:tcMar>
              <w:top w:w="60" w:type="dxa"/>
              <w:left w:w="60" w:type="dxa"/>
              <w:bottom w:w="60" w:type="dxa"/>
              <w:right w:w="60" w:type="dxa"/>
            </w:tcMar>
            <w:vAlign w:val="center"/>
          </w:tcPr>
          <w:p w14:paraId="2400467C" w14:textId="046EB2D8" w:rsidR="00166846" w:rsidRPr="00625DBE" w:rsidRDefault="00F53226" w:rsidP="006167C6">
            <w:pPr>
              <w:pStyle w:val="TableContents"/>
              <w:spacing w:before="80" w:after="0" w:line="240" w:lineRule="auto"/>
              <w:ind w:left="227" w:hanging="227"/>
              <w:rPr>
                <w:sz w:val="20"/>
                <w:lang w:val="la-Latn"/>
              </w:rPr>
            </w:pPr>
            <w:r w:rsidRPr="00F53226">
              <w:rPr>
                <w:sz w:val="20"/>
                <w:lang w:val="la-Latn"/>
              </w:rPr>
              <w:t>gubernātor, gubernātoris, m.</w:t>
            </w:r>
            <w:r w:rsidR="007F0CA4" w:rsidRPr="00625DBE">
              <w:rPr>
                <w:sz w:val="20"/>
                <w:lang w:val="la-Latn"/>
              </w:rPr>
              <w:t>: der Steuermann</w:t>
            </w:r>
          </w:p>
          <w:p w14:paraId="399CCF06" w14:textId="4147D7F1" w:rsidR="00166846" w:rsidRPr="00625DBE" w:rsidRDefault="007F0CA4" w:rsidP="006167C6">
            <w:pPr>
              <w:pStyle w:val="TableContents"/>
              <w:spacing w:before="80" w:after="0" w:line="240" w:lineRule="auto"/>
              <w:ind w:left="227" w:hanging="227"/>
              <w:rPr>
                <w:lang w:val="la-Latn"/>
              </w:rPr>
            </w:pPr>
            <w:r w:rsidRPr="00625DBE">
              <w:rPr>
                <w:sz w:val="20"/>
                <w:lang w:val="la-Latn"/>
              </w:rPr>
              <w:t>rationem hab</w:t>
            </w:r>
            <w:r w:rsidR="00F53226" w:rsidRPr="00F53226">
              <w:rPr>
                <w:sz w:val="20"/>
                <w:lang w:val="la-Latn"/>
              </w:rPr>
              <w:t>ē</w:t>
            </w:r>
            <w:r w:rsidRPr="00625DBE">
              <w:rPr>
                <w:sz w:val="20"/>
                <w:lang w:val="la-Latn"/>
              </w:rPr>
              <w:t xml:space="preserve">re </w:t>
            </w:r>
            <w:r w:rsidRPr="00625DBE">
              <w:rPr>
                <w:i/>
                <w:sz w:val="20"/>
                <w:lang w:val="la-Latn"/>
              </w:rPr>
              <w:t>m. Gen.</w:t>
            </w:r>
            <w:r w:rsidRPr="00625DBE">
              <w:rPr>
                <w:sz w:val="20"/>
                <w:lang w:val="la-Latn"/>
              </w:rPr>
              <w:t xml:space="preserve">: Sorge </w:t>
            </w:r>
            <w:r w:rsidRPr="00625DBE">
              <w:rPr>
                <w:i/>
                <w:sz w:val="20"/>
                <w:lang w:val="la-Latn"/>
              </w:rPr>
              <w:t>für etwas</w:t>
            </w:r>
            <w:r w:rsidRPr="00625DBE">
              <w:rPr>
                <w:sz w:val="20"/>
                <w:lang w:val="la-Latn"/>
              </w:rPr>
              <w:t xml:space="preserve"> tragen</w:t>
            </w:r>
          </w:p>
        </w:tc>
      </w:tr>
      <w:tr w:rsidR="00166846" w14:paraId="5931AD56" w14:textId="77777777">
        <w:trPr>
          <w:cantSplit/>
        </w:trPr>
        <w:tc>
          <w:tcPr>
            <w:tcW w:w="6106" w:type="dxa"/>
            <w:tcBorders>
              <w:left w:val="single" w:sz="2" w:space="0" w:color="000000"/>
              <w:bottom w:val="single" w:sz="2" w:space="0" w:color="000000"/>
            </w:tcBorders>
            <w:tcMar>
              <w:top w:w="60" w:type="dxa"/>
              <w:left w:w="60" w:type="dxa"/>
              <w:bottom w:w="60" w:type="dxa"/>
              <w:right w:w="60" w:type="dxa"/>
            </w:tcMar>
            <w:vAlign w:val="center"/>
          </w:tcPr>
          <w:p w14:paraId="6C8C0C54" w14:textId="77777777" w:rsidR="00166846" w:rsidRPr="0023511E" w:rsidRDefault="007F0CA4">
            <w:pPr>
              <w:pStyle w:val="TableContents"/>
              <w:spacing w:after="283"/>
              <w:rPr>
                <w:lang w:val="la-Latn"/>
              </w:rPr>
            </w:pPr>
            <w:r w:rsidRPr="0023511E">
              <w:rPr>
                <w:lang w:val="la-Latn"/>
              </w:rPr>
              <w:t>Nunc expetitur, quod est tamquam artifex conquirendae et comparandae voluptatis.</w:t>
            </w:r>
          </w:p>
        </w:tc>
        <w:tc>
          <w:tcPr>
            <w:tcW w:w="3588" w:type="dxa"/>
            <w:tcBorders>
              <w:left w:val="single" w:sz="2" w:space="0" w:color="000000"/>
              <w:bottom w:val="single" w:sz="2" w:space="0" w:color="000000"/>
              <w:right w:val="single" w:sz="2" w:space="0" w:color="000000"/>
            </w:tcBorders>
            <w:tcMar>
              <w:top w:w="60" w:type="dxa"/>
              <w:left w:w="60" w:type="dxa"/>
              <w:bottom w:w="60" w:type="dxa"/>
              <w:right w:w="60" w:type="dxa"/>
            </w:tcMar>
            <w:vAlign w:val="center"/>
          </w:tcPr>
          <w:p w14:paraId="53C1EE85" w14:textId="77777777" w:rsidR="00166846" w:rsidRPr="00625DBE" w:rsidRDefault="007F0CA4" w:rsidP="006167C6">
            <w:pPr>
              <w:pStyle w:val="TableContents"/>
              <w:spacing w:before="80" w:after="0" w:line="240" w:lineRule="auto"/>
              <w:ind w:left="227" w:hanging="227"/>
              <w:rPr>
                <w:lang w:val="la-Latn"/>
              </w:rPr>
            </w:pPr>
            <w:r w:rsidRPr="00625DBE">
              <w:rPr>
                <w:sz w:val="20"/>
                <w:lang w:val="la-Latn"/>
              </w:rPr>
              <w:t xml:space="preserve">nunc: nun aber; </w:t>
            </w:r>
            <w:r w:rsidRPr="00625DBE">
              <w:rPr>
                <w:i/>
                <w:sz w:val="20"/>
                <w:lang w:val="la-Latn"/>
              </w:rPr>
              <w:t xml:space="preserve">das Subjekt zu </w:t>
            </w:r>
            <w:r w:rsidRPr="00625DBE">
              <w:rPr>
                <w:rStyle w:val="Hervorhebung"/>
                <w:i w:val="0"/>
                <w:sz w:val="20"/>
                <w:lang w:val="la-Latn"/>
              </w:rPr>
              <w:t>expetitur</w:t>
            </w:r>
            <w:r w:rsidRPr="00625DBE">
              <w:rPr>
                <w:i/>
                <w:sz w:val="20"/>
                <w:lang w:val="la-Latn"/>
              </w:rPr>
              <w:t xml:space="preserve"> ist </w:t>
            </w:r>
            <w:r w:rsidRPr="00625DBE">
              <w:rPr>
                <w:rStyle w:val="Hervorhebung"/>
                <w:i w:val="0"/>
                <w:sz w:val="20"/>
                <w:lang w:val="la-Latn"/>
              </w:rPr>
              <w:t>sapientia</w:t>
            </w:r>
            <w:r w:rsidRPr="00625DBE">
              <w:rPr>
                <w:i/>
                <w:sz w:val="20"/>
                <w:lang w:val="la-Latn"/>
              </w:rPr>
              <w:t>.</w:t>
            </w:r>
          </w:p>
          <w:p w14:paraId="51E855D5" w14:textId="77777777" w:rsidR="00166846" w:rsidRPr="00625DBE" w:rsidRDefault="007F0CA4" w:rsidP="006167C6">
            <w:pPr>
              <w:pStyle w:val="TableContents"/>
              <w:spacing w:before="80" w:after="0" w:line="240" w:lineRule="auto"/>
              <w:ind w:left="227" w:hanging="227"/>
              <w:rPr>
                <w:sz w:val="20"/>
                <w:lang w:val="la-Latn"/>
              </w:rPr>
            </w:pPr>
            <w:r w:rsidRPr="00625DBE">
              <w:rPr>
                <w:sz w:val="20"/>
                <w:lang w:val="la-Latn"/>
              </w:rPr>
              <w:t>conquirere: erlangen</w:t>
            </w:r>
          </w:p>
        </w:tc>
      </w:tr>
      <w:tr w:rsidR="00166846" w14:paraId="60851263" w14:textId="77777777">
        <w:trPr>
          <w:cantSplit/>
        </w:trPr>
        <w:tc>
          <w:tcPr>
            <w:tcW w:w="6106" w:type="dxa"/>
            <w:tcBorders>
              <w:left w:val="single" w:sz="2" w:space="0" w:color="000000"/>
              <w:bottom w:val="single" w:sz="2" w:space="0" w:color="000000"/>
            </w:tcBorders>
            <w:tcMar>
              <w:top w:w="60" w:type="dxa"/>
              <w:left w:w="60" w:type="dxa"/>
              <w:bottom w:w="60" w:type="dxa"/>
              <w:right w:w="60" w:type="dxa"/>
            </w:tcMar>
            <w:vAlign w:val="center"/>
          </w:tcPr>
          <w:p w14:paraId="61D397BA" w14:textId="77777777" w:rsidR="00166846" w:rsidRPr="0023511E" w:rsidRDefault="007F0CA4">
            <w:pPr>
              <w:pStyle w:val="TableContents"/>
              <w:spacing w:after="283"/>
              <w:rPr>
                <w:lang w:val="la-Latn"/>
              </w:rPr>
            </w:pPr>
            <w:r w:rsidRPr="0023511E">
              <w:rPr>
                <w:lang w:val="la-Latn"/>
              </w:rPr>
              <w:t>[De finibus 1,43]</w:t>
            </w:r>
          </w:p>
          <w:p w14:paraId="0D70B276" w14:textId="77777777" w:rsidR="00166846" w:rsidRPr="0023511E" w:rsidRDefault="007F0CA4">
            <w:pPr>
              <w:pStyle w:val="TableContents"/>
              <w:spacing w:after="283"/>
              <w:rPr>
                <w:lang w:val="la-Latn"/>
              </w:rPr>
            </w:pPr>
            <w:r w:rsidRPr="0023511E">
              <w:rPr>
                <w:lang w:val="la-Latn"/>
              </w:rPr>
              <w:t>Quam autem ego dicam voluptatem, iam videtis, ne invidia verbi labefactetur oratio mea.</w:t>
            </w:r>
          </w:p>
        </w:tc>
        <w:tc>
          <w:tcPr>
            <w:tcW w:w="3588" w:type="dxa"/>
            <w:tcBorders>
              <w:left w:val="single" w:sz="2" w:space="0" w:color="000000"/>
              <w:bottom w:val="single" w:sz="2" w:space="0" w:color="000000"/>
              <w:right w:val="single" w:sz="2" w:space="0" w:color="000000"/>
            </w:tcBorders>
            <w:tcMar>
              <w:top w:w="60" w:type="dxa"/>
              <w:left w:w="60" w:type="dxa"/>
              <w:bottom w:w="60" w:type="dxa"/>
              <w:right w:w="60" w:type="dxa"/>
            </w:tcMar>
            <w:vAlign w:val="center"/>
          </w:tcPr>
          <w:p w14:paraId="377AFDF5" w14:textId="77777777" w:rsidR="00166846" w:rsidRPr="00625DBE" w:rsidRDefault="007F0CA4" w:rsidP="006167C6">
            <w:pPr>
              <w:pStyle w:val="TableContents"/>
              <w:spacing w:before="80" w:after="0" w:line="240" w:lineRule="auto"/>
              <w:ind w:left="227" w:hanging="227"/>
              <w:rPr>
                <w:sz w:val="20"/>
                <w:lang w:val="la-Latn"/>
              </w:rPr>
            </w:pPr>
            <w:r w:rsidRPr="00625DBE">
              <w:rPr>
                <w:sz w:val="20"/>
                <w:lang w:val="la-Latn"/>
              </w:rPr>
              <w:t xml:space="preserve">quam: </w:t>
            </w:r>
            <w:r w:rsidRPr="00625DBE">
              <w:rPr>
                <w:i/>
                <w:sz w:val="20"/>
                <w:lang w:val="la-Latn"/>
              </w:rPr>
              <w:t>Übersetzen Sie das Pronomen hier mit</w:t>
            </w:r>
            <w:r w:rsidRPr="00625DBE">
              <w:rPr>
                <w:sz w:val="20"/>
                <w:lang w:val="la-Latn"/>
              </w:rPr>
              <w:t xml:space="preserve"> (das, ) was.</w:t>
            </w:r>
          </w:p>
          <w:p w14:paraId="046D767A" w14:textId="77777777" w:rsidR="00166846" w:rsidRPr="00625DBE" w:rsidRDefault="007F0CA4" w:rsidP="006167C6">
            <w:pPr>
              <w:pStyle w:val="TableContents"/>
              <w:spacing w:before="80" w:after="0" w:line="240" w:lineRule="auto"/>
              <w:ind w:left="227" w:hanging="227"/>
              <w:rPr>
                <w:lang w:val="la-Latn"/>
              </w:rPr>
            </w:pPr>
            <w:r w:rsidRPr="00625DBE">
              <w:rPr>
                <w:sz w:val="20"/>
                <w:lang w:val="la-Latn"/>
              </w:rPr>
              <w:t xml:space="preserve">invidia </w:t>
            </w:r>
            <w:r w:rsidRPr="00625DBE">
              <w:rPr>
                <w:i/>
                <w:sz w:val="20"/>
                <w:lang w:val="la-Latn"/>
              </w:rPr>
              <w:t>m. Gen. obj.</w:t>
            </w:r>
            <w:r w:rsidRPr="00625DBE">
              <w:rPr>
                <w:sz w:val="20"/>
                <w:lang w:val="la-Latn"/>
              </w:rPr>
              <w:t xml:space="preserve">: die Missgunst, die Abneigung </w:t>
            </w:r>
            <w:r w:rsidRPr="00625DBE">
              <w:rPr>
                <w:i/>
                <w:sz w:val="20"/>
                <w:lang w:val="la-Latn"/>
              </w:rPr>
              <w:t>gegenüber</w:t>
            </w:r>
          </w:p>
          <w:p w14:paraId="7666CAF5" w14:textId="77777777" w:rsidR="00166846" w:rsidRPr="00625DBE" w:rsidRDefault="007F0CA4" w:rsidP="006167C6">
            <w:pPr>
              <w:pStyle w:val="TableContents"/>
              <w:spacing w:before="80" w:after="0" w:line="240" w:lineRule="auto"/>
              <w:ind w:left="227" w:hanging="227"/>
              <w:rPr>
                <w:sz w:val="20"/>
                <w:lang w:val="la-Latn"/>
              </w:rPr>
            </w:pPr>
            <w:r w:rsidRPr="00625DBE">
              <w:rPr>
                <w:sz w:val="20"/>
                <w:lang w:val="la-Latn"/>
              </w:rPr>
              <w:t>labefactāre: in Misskredit bringen, in Verruf bringen</w:t>
            </w:r>
          </w:p>
        </w:tc>
      </w:tr>
      <w:tr w:rsidR="00166846" w14:paraId="4B7EA6DD" w14:textId="77777777">
        <w:trPr>
          <w:cantSplit/>
        </w:trPr>
        <w:tc>
          <w:tcPr>
            <w:tcW w:w="6106" w:type="dxa"/>
            <w:tcBorders>
              <w:left w:val="single" w:sz="2" w:space="0" w:color="000000"/>
              <w:bottom w:val="single" w:sz="2" w:space="0" w:color="000000"/>
            </w:tcBorders>
            <w:tcMar>
              <w:top w:w="60" w:type="dxa"/>
              <w:left w:w="60" w:type="dxa"/>
              <w:bottom w:w="60" w:type="dxa"/>
              <w:right w:w="60" w:type="dxa"/>
            </w:tcMar>
            <w:vAlign w:val="center"/>
          </w:tcPr>
          <w:p w14:paraId="6C1F43B1" w14:textId="77777777" w:rsidR="00166846" w:rsidRPr="0023511E" w:rsidRDefault="007F0CA4">
            <w:pPr>
              <w:pStyle w:val="TableContents"/>
              <w:spacing w:after="283"/>
              <w:rPr>
                <w:lang w:val="la-Latn"/>
              </w:rPr>
            </w:pPr>
            <w:r w:rsidRPr="0023511E">
              <w:rPr>
                <w:lang w:val="la-Latn"/>
              </w:rPr>
              <w:t>Nam ignoratione rerum bonarum et malarum maxime hominum vita vexatur ob eumque errorem et voluptatibus maximis saepe privantur et durissimis animi doloribus torquentur.</w:t>
            </w:r>
          </w:p>
          <w:p w14:paraId="0674D471" w14:textId="77777777" w:rsidR="00166846" w:rsidRPr="0023511E" w:rsidRDefault="007F0CA4">
            <w:pPr>
              <w:pStyle w:val="TableContents"/>
              <w:spacing w:after="283"/>
              <w:rPr>
                <w:lang w:val="la-Latn"/>
              </w:rPr>
            </w:pPr>
            <w:r w:rsidRPr="0023511E">
              <w:rPr>
                <w:lang w:val="la-Latn"/>
              </w:rPr>
              <w:t>Ergo sapientia est adhibenda, quae et terroribus cupiditatibusque detractis et omnium falsarum opinionum temeritate derepta se nobis certissimam ducem praebeat ad voluptatem.</w:t>
            </w:r>
          </w:p>
        </w:tc>
        <w:tc>
          <w:tcPr>
            <w:tcW w:w="3588" w:type="dxa"/>
            <w:tcBorders>
              <w:left w:val="single" w:sz="2" w:space="0" w:color="000000"/>
              <w:bottom w:val="single" w:sz="2" w:space="0" w:color="000000"/>
              <w:right w:val="single" w:sz="2" w:space="0" w:color="000000"/>
            </w:tcBorders>
            <w:tcMar>
              <w:top w:w="60" w:type="dxa"/>
              <w:left w:w="60" w:type="dxa"/>
              <w:bottom w:w="60" w:type="dxa"/>
              <w:right w:w="60" w:type="dxa"/>
            </w:tcMar>
            <w:vAlign w:val="center"/>
          </w:tcPr>
          <w:p w14:paraId="4B069F55" w14:textId="77777777" w:rsidR="00166846" w:rsidRPr="00625DBE" w:rsidRDefault="007F0CA4" w:rsidP="006167C6">
            <w:pPr>
              <w:pStyle w:val="TableContents"/>
              <w:spacing w:before="80" w:after="0" w:line="240" w:lineRule="auto"/>
              <w:ind w:left="227" w:hanging="227"/>
              <w:rPr>
                <w:sz w:val="20"/>
                <w:lang w:val="la-Latn"/>
              </w:rPr>
            </w:pPr>
            <w:r w:rsidRPr="00625DBE">
              <w:rPr>
                <w:sz w:val="20"/>
                <w:lang w:val="la-Latn"/>
              </w:rPr>
              <w:t>vexāre: beeinträchtigen, quälen</w:t>
            </w:r>
          </w:p>
          <w:p w14:paraId="581B6721" w14:textId="36D4EE31" w:rsidR="00166846" w:rsidRPr="00625DBE" w:rsidRDefault="007F0CA4" w:rsidP="006167C6">
            <w:pPr>
              <w:pStyle w:val="pf0"/>
              <w:widowControl w:val="0"/>
              <w:spacing w:before="80" w:after="0"/>
              <w:ind w:left="227" w:hanging="227"/>
              <w:rPr>
                <w:lang w:val="la-Latn"/>
              </w:rPr>
            </w:pPr>
            <w:r w:rsidRPr="00625DBE">
              <w:rPr>
                <w:rStyle w:val="cf01"/>
                <w:lang w:val="la-Latn"/>
              </w:rPr>
              <w:t>priv</w:t>
            </w:r>
            <w:r w:rsidR="00F53226" w:rsidRPr="00625DBE">
              <w:rPr>
                <w:sz w:val="20"/>
                <w:lang w:val="la-Latn"/>
              </w:rPr>
              <w:t>ā</w:t>
            </w:r>
            <w:r w:rsidRPr="00625DBE">
              <w:rPr>
                <w:rStyle w:val="cf01"/>
                <w:lang w:val="la-Latn"/>
              </w:rPr>
              <w:t xml:space="preserve">re </w:t>
            </w:r>
            <w:r w:rsidRPr="00625DBE">
              <w:rPr>
                <w:rStyle w:val="cf11"/>
                <w:lang w:val="la-Latn"/>
              </w:rPr>
              <w:t>m. Abl.</w:t>
            </w:r>
            <w:r w:rsidRPr="00625DBE">
              <w:rPr>
                <w:rStyle w:val="cf01"/>
                <w:lang w:val="la-Latn"/>
              </w:rPr>
              <w:t xml:space="preserve">: </w:t>
            </w:r>
            <w:r w:rsidRPr="00625DBE">
              <w:rPr>
                <w:rStyle w:val="cf11"/>
                <w:i w:val="0"/>
                <w:iCs w:val="0"/>
                <w:lang w:val="la-Latn"/>
              </w:rPr>
              <w:t xml:space="preserve">einer Sache </w:t>
            </w:r>
            <w:r w:rsidRPr="00625DBE">
              <w:rPr>
                <w:rStyle w:val="cf01"/>
                <w:i/>
                <w:lang w:val="la-Latn"/>
              </w:rPr>
              <w:t>berauben</w:t>
            </w:r>
          </w:p>
          <w:p w14:paraId="2E50425E" w14:textId="77777777" w:rsidR="00166846" w:rsidRPr="00625DBE" w:rsidRDefault="007F0CA4" w:rsidP="006167C6">
            <w:pPr>
              <w:pStyle w:val="TableContents"/>
              <w:spacing w:before="80" w:after="0" w:line="240" w:lineRule="auto"/>
              <w:ind w:left="227" w:hanging="227"/>
              <w:rPr>
                <w:lang w:val="la-Latn"/>
              </w:rPr>
            </w:pPr>
            <w:r w:rsidRPr="00625DBE">
              <w:rPr>
                <w:sz w:val="20"/>
                <w:lang w:val="la-Latn"/>
              </w:rPr>
              <w:t xml:space="preserve">torquēre: quälen, martern. </w:t>
            </w:r>
            <w:r w:rsidRPr="00625DBE">
              <w:rPr>
                <w:i/>
                <w:sz w:val="20"/>
                <w:lang w:val="la-Latn"/>
              </w:rPr>
              <w:t xml:space="preserve">Das Subjekt zu </w:t>
            </w:r>
            <w:r w:rsidRPr="00625DBE">
              <w:rPr>
                <w:sz w:val="20"/>
                <w:lang w:val="la-Latn"/>
              </w:rPr>
              <w:t>torquentur</w:t>
            </w:r>
            <w:r w:rsidRPr="00625DBE">
              <w:rPr>
                <w:i/>
                <w:sz w:val="20"/>
                <w:lang w:val="la-Latn"/>
              </w:rPr>
              <w:t xml:space="preserve"> ist </w:t>
            </w:r>
            <w:r w:rsidRPr="00625DBE">
              <w:rPr>
                <w:rStyle w:val="Hervorhebung"/>
                <w:i w:val="0"/>
                <w:sz w:val="20"/>
                <w:lang w:val="la-Latn"/>
              </w:rPr>
              <w:t>animi</w:t>
            </w:r>
            <w:r w:rsidRPr="00625DBE">
              <w:rPr>
                <w:i/>
                <w:sz w:val="20"/>
                <w:lang w:val="la-Latn"/>
              </w:rPr>
              <w:t>.</w:t>
            </w:r>
          </w:p>
          <w:p w14:paraId="580EE0C5" w14:textId="4DEEF059" w:rsidR="00166846" w:rsidRPr="00625DBE" w:rsidRDefault="007F0CA4" w:rsidP="006167C6">
            <w:pPr>
              <w:pStyle w:val="TableContents"/>
              <w:spacing w:before="80" w:after="0" w:line="240" w:lineRule="auto"/>
              <w:ind w:left="227" w:hanging="227"/>
              <w:rPr>
                <w:sz w:val="20"/>
                <w:lang w:val="la-Latn"/>
              </w:rPr>
            </w:pPr>
            <w:r w:rsidRPr="00625DBE">
              <w:rPr>
                <w:sz w:val="20"/>
                <w:lang w:val="la-Latn"/>
              </w:rPr>
              <w:t>dētrahere, dētr</w:t>
            </w:r>
            <w:r w:rsidR="00F53226">
              <w:rPr>
                <w:sz w:val="20"/>
              </w:rPr>
              <w:t>a</w:t>
            </w:r>
            <w:r w:rsidRPr="00625DBE">
              <w:rPr>
                <w:sz w:val="20"/>
                <w:lang w:val="la-Latn"/>
              </w:rPr>
              <w:t>hō, dētrāxī, dētractum: entziehen, wegnehmen</w:t>
            </w:r>
          </w:p>
          <w:p w14:paraId="4DD1D07D" w14:textId="77777777" w:rsidR="00166846" w:rsidRPr="00625DBE" w:rsidRDefault="007F0CA4" w:rsidP="006167C6">
            <w:pPr>
              <w:pStyle w:val="TableContents"/>
              <w:spacing w:before="80" w:after="0" w:line="240" w:lineRule="auto"/>
              <w:ind w:left="227" w:hanging="227"/>
              <w:rPr>
                <w:sz w:val="20"/>
                <w:lang w:val="la-Latn"/>
              </w:rPr>
            </w:pPr>
            <w:r w:rsidRPr="00625DBE">
              <w:rPr>
                <w:sz w:val="20"/>
                <w:lang w:val="la-Latn"/>
              </w:rPr>
              <w:t xml:space="preserve">temeritās, temeritātis, </w:t>
            </w:r>
            <w:r w:rsidRPr="00625DBE">
              <w:rPr>
                <w:i/>
                <w:sz w:val="20"/>
                <w:lang w:val="la-Latn"/>
              </w:rPr>
              <w:t>f.</w:t>
            </w:r>
            <w:r w:rsidRPr="00625DBE">
              <w:rPr>
                <w:sz w:val="20"/>
                <w:lang w:val="la-Latn"/>
              </w:rPr>
              <w:t>: die Unbesonnenheit</w:t>
            </w:r>
          </w:p>
          <w:p w14:paraId="05382CF9" w14:textId="77777777" w:rsidR="00166846" w:rsidRPr="00625DBE" w:rsidRDefault="007F0CA4" w:rsidP="006167C6">
            <w:pPr>
              <w:pStyle w:val="TableContents"/>
              <w:spacing w:before="80" w:after="0" w:line="240" w:lineRule="auto"/>
              <w:ind w:left="227" w:hanging="227"/>
              <w:rPr>
                <w:lang w:val="la-Latn"/>
              </w:rPr>
            </w:pPr>
            <w:r w:rsidRPr="00625DBE">
              <w:rPr>
                <w:sz w:val="20"/>
                <w:lang w:val="la-Latn"/>
              </w:rPr>
              <w:t xml:space="preserve">dēripere, dēripiō, dēripuī, dēreptum: entreißen. </w:t>
            </w:r>
            <w:r w:rsidRPr="00625DBE">
              <w:rPr>
                <w:i/>
                <w:sz w:val="20"/>
                <w:lang w:val="la-Latn"/>
              </w:rPr>
              <w:t xml:space="preserve">Von </w:t>
            </w:r>
            <w:r w:rsidRPr="00625DBE">
              <w:rPr>
                <w:iCs/>
                <w:sz w:val="20"/>
                <w:lang w:val="la-Latn"/>
              </w:rPr>
              <w:t>temeritate derepta</w:t>
            </w:r>
            <w:r w:rsidRPr="00625DBE">
              <w:rPr>
                <w:i/>
                <w:sz w:val="20"/>
                <w:lang w:val="la-Latn"/>
              </w:rPr>
              <w:t xml:space="preserve"> sind die Genitive </w:t>
            </w:r>
            <w:r w:rsidRPr="00625DBE">
              <w:rPr>
                <w:rStyle w:val="Hervorhebung"/>
                <w:i w:val="0"/>
                <w:sz w:val="20"/>
                <w:lang w:val="la-Latn"/>
              </w:rPr>
              <w:t>omnium falsarum opinionum</w:t>
            </w:r>
            <w:r w:rsidRPr="00625DBE">
              <w:rPr>
                <w:i/>
                <w:sz w:val="20"/>
                <w:lang w:val="la-Latn"/>
              </w:rPr>
              <w:t xml:space="preserve"> abhängig.</w:t>
            </w:r>
          </w:p>
          <w:p w14:paraId="5721EC9A" w14:textId="77777777" w:rsidR="00166846" w:rsidRPr="00625DBE" w:rsidRDefault="007F0CA4" w:rsidP="006167C6">
            <w:pPr>
              <w:pStyle w:val="TableContents"/>
              <w:spacing w:before="80" w:after="0" w:line="240" w:lineRule="auto"/>
              <w:ind w:left="227" w:hanging="227"/>
              <w:rPr>
                <w:lang w:val="la-Latn"/>
              </w:rPr>
            </w:pPr>
            <w:r w:rsidRPr="00625DBE">
              <w:rPr>
                <w:sz w:val="20"/>
                <w:lang w:val="la-Latn"/>
              </w:rPr>
              <w:t xml:space="preserve">sē praebēre </w:t>
            </w:r>
            <w:r w:rsidRPr="00625DBE">
              <w:rPr>
                <w:i/>
                <w:sz w:val="20"/>
                <w:lang w:val="la-Latn"/>
              </w:rPr>
              <w:t>m. Akk.</w:t>
            </w:r>
            <w:r w:rsidRPr="00625DBE">
              <w:rPr>
                <w:b/>
                <w:bCs/>
                <w:color w:val="0070C0"/>
                <w:sz w:val="20"/>
                <w:lang w:val="la-Latn"/>
              </w:rPr>
              <w:t>:</w:t>
            </w:r>
            <w:r w:rsidRPr="00625DBE">
              <w:rPr>
                <w:sz w:val="20"/>
                <w:lang w:val="la-Latn"/>
              </w:rPr>
              <w:t xml:space="preserve"> sich anbieten </w:t>
            </w:r>
            <w:r w:rsidRPr="00625DBE">
              <w:rPr>
                <w:i/>
                <w:sz w:val="20"/>
                <w:lang w:val="la-Latn"/>
              </w:rPr>
              <w:t>als etwas</w:t>
            </w:r>
          </w:p>
        </w:tc>
      </w:tr>
    </w:tbl>
    <w:p w14:paraId="54D43ABC" w14:textId="77777777" w:rsidR="00166846" w:rsidRDefault="007F0CA4">
      <w:pPr>
        <w:pStyle w:val="Textbodyuser"/>
        <w:spacing w:before="113" w:after="142"/>
      </w:pPr>
      <w:r>
        <w:t>Anzahl der Wörter des Textauszugs: ca. 215 Wörter</w:t>
      </w:r>
    </w:p>
    <w:p w14:paraId="6CDE1EF4" w14:textId="77777777" w:rsidR="00166846" w:rsidRDefault="007F0CA4">
      <w:pPr>
        <w:pStyle w:val="Textbodyuser"/>
        <w:spacing w:before="113" w:after="142"/>
      </w:pPr>
      <w:r>
        <w:t>URL des HTML-Dokuments (mit Links zu den Formentabellen bei den Vokabelangaben):</w:t>
      </w:r>
    </w:p>
    <w:p w14:paraId="2E5B6E9C" w14:textId="53C47215" w:rsidR="00166846" w:rsidRPr="0023511E" w:rsidRDefault="000B1414" w:rsidP="0023511E">
      <w:pPr>
        <w:pStyle w:val="Textbodyuser"/>
        <w:spacing w:before="113" w:after="142"/>
        <w:rPr>
          <w:color w:val="0000FF"/>
          <w:u w:val="single"/>
        </w:rPr>
      </w:pPr>
      <w:hyperlink r:id="rId10" w:history="1">
        <w:r w:rsidR="007F0CA4" w:rsidRPr="003A23A7">
          <w:rPr>
            <w:rStyle w:val="Internetlink"/>
          </w:rPr>
          <w:t>https://www.schule-bw.de/faecher-und-schularten/sprachen-und-literatur/latein/texte-und-medien/cicero-philosophie/cicero-de-finibus-bonorum-et-malorum/de-finibus-1-42.html</w:t>
        </w:r>
      </w:hyperlink>
      <w:r w:rsidR="0023511E">
        <w:rPr>
          <w:rStyle w:val="Internetlink"/>
        </w:rPr>
        <w:t xml:space="preserve"> </w:t>
      </w:r>
    </w:p>
    <w:sectPr w:rsidR="00166846" w:rsidRPr="0023511E">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FA114" w14:textId="77777777" w:rsidR="000B1414" w:rsidRDefault="000B1414">
      <w:pPr>
        <w:spacing w:after="0" w:line="240" w:lineRule="auto"/>
      </w:pPr>
      <w:r>
        <w:separator/>
      </w:r>
    </w:p>
  </w:endnote>
  <w:endnote w:type="continuationSeparator" w:id="0">
    <w:p w14:paraId="18225AC4" w14:textId="77777777" w:rsidR="000B1414" w:rsidRDefault="000B1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27C3E" w14:textId="77777777" w:rsidR="003A23A7" w:rsidRDefault="003A23A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070EB" w14:textId="77777777" w:rsidR="001807C4" w:rsidRDefault="007F0CA4">
    <w:pPr>
      <w:pStyle w:val="Fuzeile"/>
      <w:widowControl w:val="0"/>
      <w:pBdr>
        <w:top w:val="single" w:sz="12" w:space="1" w:color="000000"/>
      </w:pBdr>
    </w:pPr>
    <w:r>
      <w:rPr>
        <w:sz w:val="16"/>
        <w:szCs w:val="16"/>
      </w:rPr>
      <w:t xml:space="preserve">Diese Materialien sind unter der OER-konformen Lizenz </w:t>
    </w:r>
    <w:hyperlink r:id="rId1" w:history="1">
      <w:r>
        <w:rPr>
          <w:rStyle w:val="Internetlink"/>
          <w:sz w:val="16"/>
          <w:szCs w:val="16"/>
        </w:rPr>
        <w:t>CC BY 4.0 International</w:t>
      </w:r>
    </w:hyperlink>
    <w:r>
      <w:rPr>
        <w:sz w:val="16"/>
        <w:szCs w:val="16"/>
      </w:rPr>
      <w:t xml:space="preserve"> verfügbar. Herausgeber: Landesbildungsserver Baden-Württemberg (</w:t>
    </w:r>
    <w:hyperlink r:id="rId2" w:history="1">
      <w:r>
        <w:rPr>
          <w:rStyle w:val="Internetlink"/>
          <w:sz w:val="16"/>
          <w:szCs w:val="16"/>
        </w:rPr>
        <w:t>www.schule-bw.de</w:t>
      </w:r>
    </w:hyperlink>
    <w:r>
      <w:rPr>
        <w:sz w:val="16"/>
        <w:szCs w:val="16"/>
      </w:rPr>
      <w:t>), Fachredaktion Latein (</w:t>
    </w:r>
    <w:hyperlink r:id="rId3" w:history="1">
      <w:r w:rsidRPr="003A23A7">
        <w:rPr>
          <w:rStyle w:val="Internetlink"/>
          <w:sz w:val="18"/>
          <w:szCs w:val="18"/>
        </w:rPr>
        <w:t>www.latein-bw.de</w:t>
      </w:r>
    </w:hyperlink>
    <w:r>
      <w:rPr>
        <w:sz w:val="16"/>
        <w:szCs w:val="16"/>
      </w:rPr>
      <w:t xml:space="preserve">). Urheberrechtsangaben gemäß </w:t>
    </w:r>
    <w:hyperlink r:id="rId4" w:history="1">
      <w:r>
        <w:rPr>
          <w:rStyle w:val="Internetlink"/>
          <w:sz w:val="16"/>
          <w:szCs w:val="16"/>
        </w:rPr>
        <w:t>www.schule-bw.de/urheberrecht</w:t>
      </w:r>
    </w:hyperlink>
    <w:r>
      <w:rPr>
        <w:sz w:val="16"/>
        <w:szCs w:val="16"/>
      </w:rPr>
      <w:t xml:space="preserve"> sind zu beachten.</w:t>
    </w:r>
  </w:p>
  <w:p w14:paraId="6748B718" w14:textId="77777777" w:rsidR="001807C4" w:rsidRDefault="007F0CA4">
    <w:pPr>
      <w:pStyle w:val="Fuzeile"/>
      <w:widowControl w:val="0"/>
      <w:pBdr>
        <w:top w:val="single" w:sz="12" w:space="1" w:color="000000"/>
      </w:pBdr>
      <w:jc w:val="center"/>
    </w:pPr>
    <w:r>
      <w:rPr>
        <w:sz w:val="20"/>
        <w:szCs w:val="16"/>
      </w:rPr>
      <w:t>Seite </w:t>
    </w:r>
    <w:r>
      <w:rPr>
        <w:sz w:val="20"/>
        <w:szCs w:val="16"/>
      </w:rPr>
      <w:fldChar w:fldCharType="begin"/>
    </w:r>
    <w:r>
      <w:rPr>
        <w:sz w:val="20"/>
        <w:szCs w:val="16"/>
      </w:rPr>
      <w:instrText xml:space="preserve"> PAGE </w:instrText>
    </w:r>
    <w:r>
      <w:rPr>
        <w:sz w:val="20"/>
        <w:szCs w:val="16"/>
      </w:rPr>
      <w:fldChar w:fldCharType="separate"/>
    </w:r>
    <w:r>
      <w:rPr>
        <w:sz w:val="20"/>
        <w:szCs w:val="16"/>
      </w:rPr>
      <w:t>2</w:t>
    </w:r>
    <w:r>
      <w:rPr>
        <w:sz w:val="20"/>
        <w:szCs w:val="16"/>
      </w:rPr>
      <w:fldChar w:fldCharType="end"/>
    </w:r>
    <w:r>
      <w:rPr>
        <w:sz w:val="20"/>
        <w:szCs w:val="16"/>
      </w:rPr>
      <w:t xml:space="preserve"> von </w:t>
    </w:r>
    <w:r>
      <w:rPr>
        <w:sz w:val="20"/>
        <w:szCs w:val="16"/>
      </w:rPr>
      <w:fldChar w:fldCharType="begin"/>
    </w:r>
    <w:r>
      <w:rPr>
        <w:sz w:val="20"/>
        <w:szCs w:val="16"/>
      </w:rPr>
      <w:instrText xml:space="preserve"> NUMPAGES </w:instrText>
    </w:r>
    <w:r>
      <w:rPr>
        <w:sz w:val="20"/>
        <w:szCs w:val="16"/>
      </w:rPr>
      <w:fldChar w:fldCharType="separate"/>
    </w:r>
    <w:r>
      <w:rPr>
        <w:sz w:val="20"/>
        <w:szCs w:val="16"/>
      </w:rPr>
      <w:t>2</w:t>
    </w:r>
    <w:r>
      <w:rPr>
        <w:sz w:val="20"/>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3B412" w14:textId="77777777" w:rsidR="003A23A7" w:rsidRDefault="003A23A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25B16" w14:textId="77777777" w:rsidR="000B1414" w:rsidRDefault="000B1414">
      <w:pPr>
        <w:spacing w:after="0" w:line="240" w:lineRule="auto"/>
      </w:pPr>
      <w:r>
        <w:rPr>
          <w:color w:val="000000"/>
        </w:rPr>
        <w:separator/>
      </w:r>
    </w:p>
  </w:footnote>
  <w:footnote w:type="continuationSeparator" w:id="0">
    <w:p w14:paraId="209DF105" w14:textId="77777777" w:rsidR="000B1414" w:rsidRDefault="000B1414">
      <w:pPr>
        <w:spacing w:after="0" w:line="240" w:lineRule="auto"/>
      </w:pPr>
      <w:r>
        <w:continuationSeparator/>
      </w:r>
    </w:p>
  </w:footnote>
  <w:footnote w:id="1">
    <w:p w14:paraId="186F6853" w14:textId="3D49914C" w:rsidR="00166846" w:rsidRDefault="007F0CA4">
      <w:pPr>
        <w:pStyle w:val="Footnote"/>
      </w:pPr>
      <w:r>
        <w:rPr>
          <w:rStyle w:val="Funotenzeichen"/>
        </w:rPr>
        <w:footnoteRef/>
      </w:r>
      <w:r>
        <w:t>Beide Kapitel im Abschnitt Satzlehre beim Landesbildungsserver:</w:t>
      </w:r>
      <w:r>
        <w:br/>
      </w:r>
      <w:hyperlink r:id="rId1" w:history="1">
        <w:r w:rsidRPr="00AE48BB">
          <w:rPr>
            <w:rStyle w:val="Internetlink"/>
          </w:rPr>
          <w:t>https://www.schule-bw.de/faecher-und-schularten/sprachen-und-literatu</w:t>
        </w:r>
        <w:r w:rsidRPr="00AE48BB">
          <w:rPr>
            <w:rStyle w:val="Internetlink"/>
          </w:rPr>
          <w:t>r</w:t>
        </w:r>
        <w:r w:rsidRPr="00AE48BB">
          <w:rPr>
            <w:rStyle w:val="Internetlink"/>
          </w:rPr>
          <w:t>/latein/sprache/</w:t>
        </w:r>
        <w:r w:rsidRPr="00AE48BB">
          <w:rPr>
            <w:rStyle w:val="Internetlink"/>
          </w:rPr>
          <w:t>s</w:t>
        </w:r>
        <w:r w:rsidRPr="00AE48BB">
          <w:rPr>
            <w:rStyle w:val="Internetlink"/>
          </w:rPr>
          <w:t>atzlehre</w:t>
        </w:r>
      </w:hyperlink>
      <w:r w:rsidR="0023511E">
        <w:rPr>
          <w:rStyle w:val="Internetlink"/>
        </w:rPr>
        <w:t xml:space="preserve"> </w:t>
      </w:r>
    </w:p>
    <w:p w14:paraId="0501F5BF" w14:textId="77777777" w:rsidR="00166846" w:rsidRDefault="00166846">
      <w:pPr>
        <w:pStyle w:val="Footnot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8CD7" w14:textId="77777777" w:rsidR="003A23A7" w:rsidRDefault="003A23A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35531" w14:textId="72F06320" w:rsidR="00684A89" w:rsidRDefault="00684A89" w:rsidP="00684A89">
    <w:pPr>
      <w:pStyle w:val="Kopfzeile"/>
      <w:spacing w:after="720"/>
      <w:ind w:left="142"/>
    </w:pPr>
    <w:r>
      <w:rPr>
        <w:noProof/>
        <w:sz w:val="8"/>
        <w:szCs w:val="8"/>
      </w:rPr>
      <mc:AlternateContent>
        <mc:Choice Requires="wps">
          <w:drawing>
            <wp:anchor distT="0" distB="0" distL="114300" distR="114300" simplePos="0" relativeHeight="251659264" behindDoc="1" locked="0" layoutInCell="1" allowOverlap="1" wp14:anchorId="1D5AE7F4" wp14:editId="07764363">
              <wp:simplePos x="0" y="0"/>
              <wp:positionH relativeFrom="margin">
                <wp:posOffset>472440</wp:posOffset>
              </wp:positionH>
              <wp:positionV relativeFrom="paragraph">
                <wp:posOffset>116205</wp:posOffset>
              </wp:positionV>
              <wp:extent cx="2049780" cy="412750"/>
              <wp:effectExtent l="0" t="0" r="0" b="6350"/>
              <wp:wrapNone/>
              <wp:docPr id="4" name="Rahmen2"/>
              <wp:cNvGraphicFramePr/>
              <a:graphic xmlns:a="http://schemas.openxmlformats.org/drawingml/2006/main">
                <a:graphicData uri="http://schemas.microsoft.com/office/word/2010/wordprocessingShape">
                  <wps:wsp>
                    <wps:cNvSpPr txBox="1"/>
                    <wps:spPr>
                      <a:xfrm>
                        <a:off x="0" y="0"/>
                        <a:ext cx="2049780" cy="412750"/>
                      </a:xfrm>
                      <a:prstGeom prst="rect">
                        <a:avLst/>
                      </a:prstGeom>
                      <a:noFill/>
                      <a:ln>
                        <a:noFill/>
                        <a:prstDash/>
                      </a:ln>
                    </wps:spPr>
                    <wps:txbx>
                      <w:txbxContent>
                        <w:p w14:paraId="3F6175A8" w14:textId="77777777" w:rsidR="00684A89" w:rsidRDefault="00684A89" w:rsidP="00684A89">
                          <w:pPr>
                            <w:pStyle w:val="Framecontents"/>
                          </w:pPr>
                          <w:r>
                            <w:rPr>
                              <w:rFonts w:ascii="Calibri Light" w:hAnsi="Calibri Light" w:cs="Calibri Light"/>
                              <w:b/>
                              <w:szCs w:val="36"/>
                            </w:rPr>
                            <w:t>LANDESBILDUNGSSERVER</w:t>
                          </w:r>
                          <w:r>
                            <w:rPr>
                              <w:rFonts w:ascii="Calibri Light" w:hAnsi="Calibri Light" w:cs="Calibri Light"/>
                              <w:b/>
                              <w:sz w:val="10"/>
                              <w:szCs w:val="38"/>
                            </w:rPr>
                            <w:br/>
                          </w:r>
                          <w:r>
                            <w:rPr>
                              <w:rFonts w:ascii="Calibri Light" w:hAnsi="Calibri Light" w:cs="Calibri Light"/>
                              <w:sz w:val="16"/>
                              <w:szCs w:val="16"/>
                            </w:rPr>
                            <w:t>Baden-Württemberg</w:t>
                          </w:r>
                        </w:p>
                      </w:txbxContent>
                    </wps:txbx>
                    <wps:bodyPr vert="horz" wrap="square" lIns="91440" tIns="45720" rIns="91440" bIns="45720" anchor="t" compatLnSpc="0">
                      <a:noAutofit/>
                    </wps:bodyPr>
                  </wps:wsp>
                </a:graphicData>
              </a:graphic>
              <wp14:sizeRelH relativeFrom="margin">
                <wp14:pctWidth>0</wp14:pctWidth>
              </wp14:sizeRelH>
              <wp14:sizeRelV relativeFrom="margin">
                <wp14:pctHeight>0</wp14:pctHeight>
              </wp14:sizeRelV>
            </wp:anchor>
          </w:drawing>
        </mc:Choice>
        <mc:Fallback>
          <w:pict>
            <v:shapetype w14:anchorId="1D5AE7F4" id="_x0000_t202" coordsize="21600,21600" o:spt="202" path="m,l,21600r21600,l21600,xe">
              <v:stroke joinstyle="miter"/>
              <v:path gradientshapeok="t" o:connecttype="rect"/>
            </v:shapetype>
            <v:shape id="Rahmen2" o:spid="_x0000_s1026" type="#_x0000_t202" style="position:absolute;left:0;text-align:left;margin-left:37.2pt;margin-top:9.15pt;width:161.4pt;height:3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sqpywEAAIADAAAOAAAAZHJzL2Uyb0RvYy54bWysU8Fu2zAMvQ/YPwi6L3YMd2mDOMWGoMOA&#10;YhuW9QMYWYoFWKImKbGzrx8lp2nQ3oZdZImPot57pFf3o+nZUfqg0TZ8Pis5k1Zgq+2+4U+/Hj7c&#10;chYi2BZ6tLLhJxn4/fr9u9XglrLCDvtWekZFbFgOruFdjG5ZFEF00kCYoZOWQIXeQKSj3xeth4Gq&#10;m76oyvJjMaBvnUchQ6DoZgL5OtdXSor4XakgI+sbTtxiXn1ed2kt1itY7j24ToszDfgHFga0pUcv&#10;pTYQgR28flPKaOExoIozgaZApbSQWQOpmZev1Gw7cDJrIXOCu9gU/l9Z8e34wzPdNrzmzIKhFv2E&#10;zkhbJWsGF5aUsXWUE8fPOFKLn+OBgknxqLxJX9LCCCeTTxdj5RiZoGBV1neLW4IEYfW8Wtxk54uX&#10;286H+EWiYWnTcE+Ny37C8TFEYkKpzynpMYsPuu9z83r7KpDyNhC66VaCi6Rj4pt2cdyNZ3E7bE+k&#10;jQaYHu3Q/+FsoGFoePh9AC85679acvtuXtdpevKhvllUdPDXyO4aASuoVMMj6UXjID7arRPJlInp&#10;p0NEpbOqRGficGZJbc5izyOZ5uj6nLNefpz1XwAAAP//AwBQSwMEFAAGAAgAAAAhAHGx5HneAAAA&#10;CAEAAA8AAABkcnMvZG93bnJldi54bWxMj81OwzAQhO9IfQdrkbhRmya0aYhTIRBXUMuPxM2Nt0nU&#10;eB3FbhPenuVEj7Mzmvm22EyuE2ccQutJw91cgUCqvG2p1vDx/nKbgQjRkDWdJ9TwgwE25eyqMLn1&#10;I23xvIu14BIKudHQxNjnUoaqQWfC3PdI7B384ExkOdTSDmbkctfJhVJL6UxLvNCYHp8arI67k9Pw&#10;+Xr4/krVW/3s7vvRT0qSW0utb66nxwcQEaf4H4Y/fEaHkpn2/kQ2iE7DKk05yfcsAcF+sl4tQOw1&#10;ZEkCsizk5QPlLwAAAP//AwBQSwECLQAUAAYACAAAACEAtoM4kv4AAADhAQAAEwAAAAAAAAAAAAAA&#10;AAAAAAAAW0NvbnRlbnRfVHlwZXNdLnhtbFBLAQItABQABgAIAAAAIQA4/SH/1gAAAJQBAAALAAAA&#10;AAAAAAAAAAAAAC8BAABfcmVscy8ucmVsc1BLAQItABQABgAIAAAAIQBUJsqpywEAAIADAAAOAAAA&#10;AAAAAAAAAAAAAC4CAABkcnMvZTJvRG9jLnhtbFBLAQItABQABgAIAAAAIQBxseR53gAAAAgBAAAP&#10;AAAAAAAAAAAAAAAAACUEAABkcnMvZG93bnJldi54bWxQSwUGAAAAAAQABADzAAAAMAUAAAAA&#10;" filled="f" stroked="f">
              <v:textbox>
                <w:txbxContent>
                  <w:p w14:paraId="3F6175A8" w14:textId="77777777" w:rsidR="00684A89" w:rsidRDefault="00684A89" w:rsidP="00684A89">
                    <w:pPr>
                      <w:pStyle w:val="Framecontents"/>
                    </w:pPr>
                    <w:r>
                      <w:rPr>
                        <w:rFonts w:ascii="Calibri Light" w:hAnsi="Calibri Light" w:cs="Calibri Light"/>
                        <w:b/>
                        <w:szCs w:val="36"/>
                      </w:rPr>
                      <w:t>LANDESBILDUNGSSERVER</w:t>
                    </w:r>
                    <w:r>
                      <w:rPr>
                        <w:rFonts w:ascii="Calibri Light" w:hAnsi="Calibri Light" w:cs="Calibri Light"/>
                        <w:b/>
                        <w:sz w:val="10"/>
                        <w:szCs w:val="38"/>
                      </w:rPr>
                      <w:br/>
                    </w:r>
                    <w:r>
                      <w:rPr>
                        <w:rFonts w:ascii="Calibri Light" w:hAnsi="Calibri Light" w:cs="Calibri Light"/>
                        <w:sz w:val="16"/>
                        <w:szCs w:val="16"/>
                      </w:rPr>
                      <w:t>Baden-Württemberg</w:t>
                    </w:r>
                  </w:p>
                </w:txbxContent>
              </v:textbox>
              <w10:wrap anchorx="margin"/>
            </v:shape>
          </w:pict>
        </mc:Fallback>
      </mc:AlternateContent>
    </w:r>
    <w:r>
      <w:rPr>
        <w:noProof/>
      </w:rPr>
      <w:drawing>
        <wp:anchor distT="0" distB="0" distL="114300" distR="114300" simplePos="0" relativeHeight="251660288" behindDoc="0" locked="0" layoutInCell="1" allowOverlap="1" wp14:anchorId="50E1E213" wp14:editId="3B71A464">
          <wp:simplePos x="0" y="0"/>
          <wp:positionH relativeFrom="column">
            <wp:posOffset>-72390</wp:posOffset>
          </wp:positionH>
          <wp:positionV relativeFrom="paragraph">
            <wp:posOffset>81915</wp:posOffset>
          </wp:positionV>
          <wp:extent cx="468000" cy="450720"/>
          <wp:effectExtent l="0" t="0" r="8250" b="6480"/>
          <wp:wrapSquare wrapText="bothSides"/>
          <wp:docPr id="1" name="2" descr="Ein Bild, das Tex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 name="2" descr="Ein Bild, das Text enthält.&#10;&#10;Automatisch generierte Beschreibung"/>
                  <pic:cNvPicPr/>
                </pic:nvPicPr>
                <pic:blipFill>
                  <a:blip r:embed="rId1">
                    <a:lum/>
                    <a:alphaModFix/>
                  </a:blip>
                  <a:srcRect l="2459" t="9203" r="69676" b="6428"/>
                  <a:stretch>
                    <a:fillRect/>
                  </a:stretch>
                </pic:blipFill>
                <pic:spPr>
                  <a:xfrm>
                    <a:off x="0" y="0"/>
                    <a:ext cx="468000" cy="450720"/>
                  </a:xfrm>
                  <a:prstGeom prst="rect">
                    <a:avLst/>
                  </a:prstGeom>
                  <a:noFill/>
                  <a:ln>
                    <a:noFill/>
                    <a:prstDash/>
                  </a:ln>
                </pic:spPr>
              </pic:pic>
            </a:graphicData>
          </a:graphic>
        </wp:anchor>
      </w:drawing>
    </w:r>
    <w:r>
      <w:rPr>
        <w:noProof/>
      </w:rPr>
      <w:drawing>
        <wp:anchor distT="0" distB="0" distL="114300" distR="114300" simplePos="0" relativeHeight="251662336" behindDoc="1" locked="0" layoutInCell="1" allowOverlap="1" wp14:anchorId="2871BBB4" wp14:editId="2E3ABCC3">
          <wp:simplePos x="0" y="0"/>
          <wp:positionH relativeFrom="column">
            <wp:posOffset>3058200</wp:posOffset>
          </wp:positionH>
          <wp:positionV relativeFrom="paragraph">
            <wp:posOffset>0</wp:posOffset>
          </wp:positionV>
          <wp:extent cx="396360" cy="554400"/>
          <wp:effectExtent l="0" t="0" r="3690" b="0"/>
          <wp:wrapNone/>
          <wp:docPr id="2" name="3" descr="Ein Bild, das Text, Schild, Container, Dose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3" descr="Ein Bild, das Text, Schild, Container, Dose enthält.&#10;&#10;Automatisch generierte Beschreibung"/>
                  <pic:cNvPicPr/>
                </pic:nvPicPr>
                <pic:blipFill>
                  <a:blip r:embed="rId2">
                    <a:lum/>
                    <a:alphaModFix/>
                  </a:blip>
                  <a:srcRect/>
                  <a:stretch>
                    <a:fillRect/>
                  </a:stretch>
                </pic:blipFill>
                <pic:spPr>
                  <a:xfrm>
                    <a:off x="0" y="0"/>
                    <a:ext cx="396360" cy="554400"/>
                  </a:xfrm>
                  <a:prstGeom prst="rect">
                    <a:avLst/>
                  </a:prstGeom>
                  <a:noFill/>
                  <a:ln>
                    <a:noFill/>
                    <a:prstDash/>
                  </a:ln>
                </pic:spPr>
              </pic:pic>
            </a:graphicData>
          </a:graphic>
        </wp:anchor>
      </w:drawing>
    </w:r>
  </w:p>
  <w:p w14:paraId="1DC80455" w14:textId="77777777" w:rsidR="00684A89" w:rsidRDefault="00684A89" w:rsidP="00684A89">
    <w:pPr>
      <w:pStyle w:val="Kopfzeile"/>
      <w:pBdr>
        <w:bottom w:val="single" w:sz="4" w:space="1" w:color="000000"/>
      </w:pBdr>
      <w:rPr>
        <w:sz w:val="8"/>
        <w:szCs w:val="8"/>
      </w:rPr>
    </w:pPr>
    <w:r>
      <w:rPr>
        <w:noProof/>
        <w:sz w:val="8"/>
        <w:szCs w:val="8"/>
      </w:rPr>
      <w:drawing>
        <wp:anchor distT="0" distB="0" distL="114300" distR="114300" simplePos="0" relativeHeight="251661312" behindDoc="0" locked="0" layoutInCell="1" allowOverlap="1" wp14:anchorId="1E684C8C" wp14:editId="224D6A2F">
          <wp:simplePos x="0" y="0"/>
          <wp:positionH relativeFrom="column">
            <wp:posOffset>5158080</wp:posOffset>
          </wp:positionH>
          <wp:positionV relativeFrom="paragraph">
            <wp:posOffset>-443879</wp:posOffset>
          </wp:positionV>
          <wp:extent cx="1301040" cy="415440"/>
          <wp:effectExtent l="0" t="0" r="0" b="3660"/>
          <wp:wrapSquare wrapText="bothSides"/>
          <wp:docPr id="3" name="1" descr="Ein Bild, das Tex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3" name="1" descr="Ein Bild, das Text enthält.&#10;&#10;Automatisch generierte Beschreibung"/>
                  <pic:cNvPicPr/>
                </pic:nvPicPr>
                <pic:blipFill>
                  <a:blip r:embed="rId3">
                    <a:lum/>
                    <a:alphaModFix/>
                  </a:blip>
                  <a:srcRect l="6217" t="13904" r="6409" b="13904"/>
                  <a:stretch>
                    <a:fillRect/>
                  </a:stretch>
                </pic:blipFill>
                <pic:spPr>
                  <a:xfrm>
                    <a:off x="0" y="0"/>
                    <a:ext cx="1301040" cy="415440"/>
                  </a:xfrm>
                  <a:prstGeom prst="rect">
                    <a:avLst/>
                  </a:prstGeom>
                  <a:noFill/>
                  <a:ln>
                    <a:noFill/>
                    <a:prstDash/>
                  </a:ln>
                </pic:spPr>
              </pic:pic>
            </a:graphicData>
          </a:graphic>
        </wp:anchor>
      </w:drawing>
    </w:r>
    <w:r>
      <w:rPr>
        <w:sz w:val="8"/>
        <w:szCs w:val="8"/>
      </w:rPr>
      <w:t>#</w:t>
    </w:r>
  </w:p>
  <w:p w14:paraId="39EF9EDD" w14:textId="4B85B13B" w:rsidR="00684A89" w:rsidRPr="00684A89" w:rsidRDefault="00684A89" w:rsidP="00684A89">
    <w:pPr>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659C1" w14:textId="77777777" w:rsidR="003A23A7" w:rsidRDefault="003A23A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43F3"/>
    <w:multiLevelType w:val="multilevel"/>
    <w:tmpl w:val="01A6B2E6"/>
    <w:styleLink w:val="WWNum1"/>
    <w:lvl w:ilvl="0">
      <w:numFmt w:val="bullet"/>
      <w:lvlText w:val=""/>
      <w:lvlJc w:val="left"/>
      <w:rPr>
        <w:rFonts w:ascii="Symbol" w:hAnsi="Symbol"/>
        <w:b w:val="0"/>
        <w:bCs w:val="0"/>
        <w:i w:val="0"/>
        <w:iCs w:val="0"/>
        <w:caps w:val="0"/>
        <w:smallCaps w:val="0"/>
        <w:strike w:val="0"/>
        <w:dstrike w:val="0"/>
        <w:color w:val="000000"/>
        <w:spacing w:val="0"/>
        <w:w w:val="100"/>
        <w:sz w:val="22"/>
        <w:szCs w:val="22"/>
        <w:u w:val="none"/>
        <w:lang w:val="en-US" w:eastAsia="en-US" w:bidi="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15297C04"/>
    <w:multiLevelType w:val="multilevel"/>
    <w:tmpl w:val="FBB017EE"/>
    <w:styleLink w:val="KeineListe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41FD4EFC"/>
    <w:multiLevelType w:val="multilevel"/>
    <w:tmpl w:val="A95E2230"/>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50A92B33"/>
    <w:multiLevelType w:val="multilevel"/>
    <w:tmpl w:val="F57AFB80"/>
    <w:styleLink w:val="WWNum2a"/>
    <w:lvl w:ilvl="0">
      <w:numFmt w:val="bullet"/>
      <w:pStyle w:val="Aufzhlungszeichen"/>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846"/>
    <w:rsid w:val="000334C8"/>
    <w:rsid w:val="000B1414"/>
    <w:rsid w:val="00166846"/>
    <w:rsid w:val="0023511E"/>
    <w:rsid w:val="003A23A7"/>
    <w:rsid w:val="006167C6"/>
    <w:rsid w:val="00625DBE"/>
    <w:rsid w:val="00684A89"/>
    <w:rsid w:val="006E3229"/>
    <w:rsid w:val="007F0CA4"/>
    <w:rsid w:val="00AE48BB"/>
    <w:rsid w:val="00BA35F8"/>
    <w:rsid w:val="00E0396D"/>
    <w:rsid w:val="00F532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DE91E"/>
  <w15:docId w15:val="{909D0A05-40DE-4618-9716-3311C72F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lang w:val="de-DE"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spacing w:after="60" w:line="276" w:lineRule="auto"/>
    </w:pPr>
  </w:style>
  <w:style w:type="paragraph" w:styleId="berschrift1">
    <w:name w:val="heading 1"/>
    <w:basedOn w:val="Heading"/>
    <w:next w:val="Textbodyuser"/>
    <w:uiPriority w:val="9"/>
    <w:qFormat/>
    <w:pPr>
      <w:outlineLvl w:val="0"/>
    </w:pPr>
    <w:rPr>
      <w:b/>
      <w:bCs/>
      <w:color w:val="4F81BD"/>
    </w:rPr>
  </w:style>
  <w:style w:type="paragraph" w:styleId="berschrift2">
    <w:name w:val="heading 2"/>
    <w:basedOn w:val="Standard"/>
    <w:next w:val="Standard"/>
    <w:uiPriority w:val="9"/>
    <w:semiHidden/>
    <w:unhideWhenUsed/>
    <w:qFormat/>
    <w:pPr>
      <w:keepNext/>
      <w:keepLines/>
      <w:spacing w:before="200" w:after="240"/>
      <w:outlineLvl w:val="1"/>
    </w:pPr>
    <w:rPr>
      <w:rFonts w:ascii="Cambria" w:eastAsia="Cambria" w:hAnsi="Cambria" w:cs="Cambria"/>
      <w:b/>
      <w:bCs/>
      <w:color w:val="4F81BD"/>
      <w:sz w:val="26"/>
      <w:szCs w:val="26"/>
    </w:rPr>
  </w:style>
  <w:style w:type="paragraph" w:styleId="berschrift3">
    <w:name w:val="heading 3"/>
    <w:basedOn w:val="Heading"/>
    <w:next w:val="Textbodyuser"/>
    <w:uiPriority w:val="9"/>
    <w:semiHidden/>
    <w:unhideWhenUsed/>
    <w:qFormat/>
    <w:pPr>
      <w:spacing w:before="140"/>
      <w:outlineLvl w:val="2"/>
    </w:pPr>
    <w:rPr>
      <w:rFonts w:ascii="Liberation Serif" w:eastAsia="NSimSun" w:hAnsi="Liberation Serif" w:cs="Lucida Sans"/>
      <w:b/>
      <w:bCs/>
    </w:rPr>
  </w:style>
  <w:style w:type="paragraph" w:styleId="berschrift4">
    <w:name w:val="heading 4"/>
    <w:basedOn w:val="Heading"/>
    <w:next w:val="Textbodyuser"/>
    <w:uiPriority w:val="9"/>
    <w:semiHidden/>
    <w:unhideWhenUsed/>
    <w:qFormat/>
    <w:pPr>
      <w:spacing w:before="120"/>
      <w:outlineLvl w:val="3"/>
    </w:pPr>
    <w:rPr>
      <w:rFonts w:ascii="Liberation Serif" w:eastAsia="Segoe UI" w:hAnsi="Liberation Serif" w:cs="Tahoma"/>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user"/>
    <w:pPr>
      <w:keepNext/>
      <w:spacing w:before="240" w:after="120"/>
    </w:pPr>
    <w:rPr>
      <w:rFonts w:eastAsia="Microsoft YaHei" w:cs="Mangal"/>
      <w:sz w:val="28"/>
      <w:szCs w:val="28"/>
    </w:rPr>
  </w:style>
  <w:style w:type="paragraph" w:customStyle="1" w:styleId="Textbody">
    <w:name w:val="Text body"/>
    <w:basedOn w:val="Standard"/>
    <w:pPr>
      <w:spacing w:after="140"/>
    </w:pPr>
  </w:style>
  <w:style w:type="paragraph" w:styleId="Liste">
    <w:name w:val="List"/>
    <w:basedOn w:val="Textbodyuser"/>
    <w:rPr>
      <w:rFonts w:cs="Mangal"/>
    </w:rPr>
  </w:style>
  <w:style w:type="paragraph" w:styleId="Beschriftung">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customStyle="1" w:styleId="Textbodyuser">
    <w:name w:val="Text body (user)"/>
    <w:basedOn w:val="Standard"/>
    <w:pPr>
      <w:spacing w:after="140"/>
    </w:pPr>
  </w:style>
  <w:style w:type="paragraph" w:customStyle="1" w:styleId="HeaderandFooter">
    <w:name w:val="Header and 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styleId="Fuzeile">
    <w:name w:val="footer"/>
    <w:basedOn w:val="Standard"/>
    <w:pPr>
      <w:suppressLineNumbers/>
      <w:tabs>
        <w:tab w:val="center" w:pos="4819"/>
        <w:tab w:val="right" w:pos="9638"/>
      </w:tabs>
    </w:pPr>
  </w:style>
  <w:style w:type="paragraph" w:styleId="Listenabsatz">
    <w:name w:val="List Paragraph"/>
    <w:basedOn w:val="Standard"/>
    <w:pPr>
      <w:ind w:left="720"/>
    </w:pPr>
    <w:rPr>
      <w:sz w:val="20"/>
    </w:rPr>
  </w:style>
  <w:style w:type="paragraph" w:customStyle="1" w:styleId="MSGENFONTSTYLENAMETEMPLATEROLENUMBERMSGENFONTSTYLENAMEBYROLETEXT2">
    <w:name w:val="MSG_EN_FONT_STYLE_NAME_TEMPLATE_ROLE_NUMBER MSG_EN_FONT_STYLE_NAME_BY_ROLE_TEXT 2"/>
    <w:basedOn w:val="Standard"/>
    <w:pPr>
      <w:shd w:val="clear" w:color="auto" w:fill="FFFFFF"/>
      <w:spacing w:before="560" w:after="0" w:line="274" w:lineRule="exact"/>
      <w:ind w:hanging="360"/>
    </w:pPr>
    <w:rPr>
      <w:rFonts w:ascii="Arial" w:eastAsia="Arial" w:hAnsi="Arial" w:cs="Arial"/>
      <w:sz w:val="22"/>
      <w:szCs w:val="22"/>
    </w:rPr>
  </w:style>
  <w:style w:type="paragraph" w:styleId="Dokumentstruktur">
    <w:name w:val="Document Map"/>
    <w:pPr>
      <w:textAlignment w:val="auto"/>
    </w:pPr>
    <w:rPr>
      <w:rFonts w:ascii="Times New Roman" w:hAnsi="Times New Roman"/>
      <w:szCs w:val="24"/>
      <w:lang w:val="en-US" w:eastAsia="en-US"/>
    </w:rPr>
  </w:style>
  <w:style w:type="paragraph" w:customStyle="1" w:styleId="Framecontents">
    <w:name w:val="Frame contents"/>
    <w:basedOn w:val="Standard"/>
  </w:style>
  <w:style w:type="paragraph" w:customStyle="1" w:styleId="Beschriftung1">
    <w:name w:val="Beschriftung1"/>
    <w:basedOn w:val="Standard"/>
    <w:pPr>
      <w:suppressLineNumbers/>
      <w:spacing w:before="120" w:after="120"/>
    </w:pPr>
  </w:style>
  <w:style w:type="paragraph" w:customStyle="1" w:styleId="Einrckung0">
    <w:name w:val="Einrückung0"/>
    <w:basedOn w:val="Standard"/>
    <w:pPr>
      <w:spacing w:line="360" w:lineRule="atLeast"/>
    </w:pPr>
  </w:style>
  <w:style w:type="paragraph" w:customStyle="1" w:styleId="Einrckung1">
    <w:name w:val="Einrückung1"/>
    <w:basedOn w:val="Standard"/>
    <w:pPr>
      <w:spacing w:line="360" w:lineRule="atLeast"/>
      <w:ind w:left="425" w:hanging="425"/>
    </w:pPr>
  </w:style>
  <w:style w:type="paragraph" w:customStyle="1" w:styleId="Einrckung2">
    <w:name w:val="Einrückung2"/>
    <w:basedOn w:val="Standard"/>
    <w:pPr>
      <w:spacing w:line="360" w:lineRule="atLeast"/>
      <w:ind w:left="850" w:hanging="425"/>
    </w:pPr>
  </w:style>
  <w:style w:type="paragraph" w:customStyle="1" w:styleId="Einrckung3">
    <w:name w:val="Einrückung3"/>
    <w:basedOn w:val="Standard"/>
    <w:pPr>
      <w:spacing w:line="360" w:lineRule="atLeast"/>
      <w:ind w:left="1276" w:hanging="425"/>
    </w:pPr>
  </w:style>
  <w:style w:type="paragraph" w:customStyle="1" w:styleId="Einrckung4">
    <w:name w:val="Einrückung4"/>
    <w:basedOn w:val="Standard"/>
    <w:pPr>
      <w:spacing w:line="360" w:lineRule="atLeast"/>
      <w:ind w:left="1701" w:hanging="425"/>
    </w:pPr>
  </w:style>
  <w:style w:type="paragraph" w:customStyle="1" w:styleId="DLTabs">
    <w:name w:val="DLTabs"/>
    <w:basedOn w:val="Standard"/>
    <w:pPr>
      <w:tabs>
        <w:tab w:val="left" w:pos="567"/>
        <w:tab w:val="right" w:pos="7371"/>
        <w:tab w:val="left" w:pos="7938"/>
        <w:tab w:val="left" w:pos="9214"/>
      </w:tabs>
    </w:pPr>
    <w:rPr>
      <w:sz w:val="16"/>
    </w:rPr>
  </w:style>
  <w:style w:type="paragraph" w:styleId="Sprechblasentext">
    <w:name w:val="Balloon Text"/>
    <w:basedOn w:val="Standard"/>
  </w:style>
  <w:style w:type="paragraph" w:styleId="Kommentartext">
    <w:name w:val="annotation text"/>
    <w:basedOn w:val="Standard"/>
  </w:style>
  <w:style w:type="paragraph" w:styleId="Kommentarthema">
    <w:name w:val="annotation subject"/>
    <w:basedOn w:val="Kommentartext"/>
    <w:next w:val="Kommentartext"/>
    <w:rPr>
      <w:b/>
      <w:bCs/>
    </w:rPr>
  </w:style>
  <w:style w:type="paragraph" w:customStyle="1" w:styleId="MSGENFONTSTYLENAMETEMPLATEROLELEVELMSGENFONTSTYLENAMEBYROLEHEADING1">
    <w:name w:val="MSG_EN_FONT_STYLE_NAME_TEMPLATE_ROLE_LEVEL MSG_EN_FONT_STYLE_NAME_BY_ROLE_HEADING 1"/>
    <w:basedOn w:val="Standard"/>
    <w:pPr>
      <w:widowControl w:val="0"/>
      <w:shd w:val="clear" w:color="auto" w:fill="FFFFFF"/>
      <w:spacing w:after="560" w:line="274" w:lineRule="exact"/>
      <w:textAlignment w:val="auto"/>
      <w:outlineLvl w:val="0"/>
    </w:pPr>
    <w:rPr>
      <w:rFonts w:ascii="Arial" w:eastAsia="Arial" w:hAnsi="Arial" w:cs="Arial"/>
      <w:b/>
      <w:bCs/>
      <w:szCs w:val="24"/>
      <w:lang w:val="en-US" w:eastAsia="en-US"/>
    </w:rPr>
  </w:style>
  <w:style w:type="paragraph" w:customStyle="1" w:styleId="berschrift1-allerersteaufersterSeitefrNutzungserklrungWebServicesLBS">
    <w:name w:val="Überschrift1 - allererste auf erster Seite (für Nutzungserklärung WebServices LBS)"/>
    <w:basedOn w:val="berschrift1"/>
    <w:next w:val="Standard-frNutzungserklrungWebServicesLBS"/>
    <w:pPr>
      <w:spacing w:before="0" w:after="57" w:line="254" w:lineRule="auto"/>
    </w:pPr>
    <w:rPr>
      <w:sz w:val="22"/>
    </w:rPr>
  </w:style>
  <w:style w:type="paragraph" w:customStyle="1" w:styleId="berschrift1-alleweiterenfrNutzungserklrungWebServicesLBS">
    <w:name w:val="Überschrift1 - alle weiteren für Nutzungserklärung WebServices LBS"/>
    <w:basedOn w:val="berschrift1"/>
    <w:next w:val="Standard-frNutzungserklrungWebServicesLBS"/>
    <w:pPr>
      <w:spacing w:before="238" w:after="57" w:line="254" w:lineRule="auto"/>
    </w:pPr>
    <w:rPr>
      <w:sz w:val="22"/>
    </w:rPr>
  </w:style>
  <w:style w:type="paragraph" w:customStyle="1" w:styleId="Standard-frNutzungserklrungWebServicesLBS">
    <w:name w:val="Standard - für Nutzungserklärung WebServices LBS"/>
    <w:basedOn w:val="Standard"/>
    <w:pPr>
      <w:spacing w:after="57" w:line="254" w:lineRule="auto"/>
      <w:jc w:val="both"/>
    </w:pPr>
    <w:rPr>
      <w:sz w:val="22"/>
    </w:rPr>
  </w:style>
  <w:style w:type="paragraph" w:customStyle="1" w:styleId="Illustration">
    <w:name w:val="Illustration"/>
    <w:basedOn w:val="Beschriftung"/>
  </w:style>
  <w:style w:type="paragraph" w:styleId="KeinLeerraum">
    <w:name w:val="No Spacing"/>
    <w:pPr>
      <w:widowControl/>
      <w:textAlignment w:val="auto"/>
    </w:pPr>
    <w:rPr>
      <w:rFonts w:cs="Arial"/>
      <w:sz w:val="22"/>
      <w:szCs w:val="22"/>
    </w:rPr>
  </w:style>
  <w:style w:type="paragraph" w:styleId="Titel">
    <w:name w:val="Title"/>
    <w:basedOn w:val="Standard"/>
    <w:next w:val="Standard"/>
    <w:uiPriority w:val="10"/>
    <w:qFormat/>
    <w:pPr>
      <w:pBdr>
        <w:bottom w:val="single" w:sz="8" w:space="4" w:color="4F81BD"/>
      </w:pBdr>
      <w:spacing w:after="300"/>
    </w:pPr>
    <w:rPr>
      <w:rFonts w:ascii="Cambria" w:eastAsia="Cambria" w:hAnsi="Cambria" w:cs="Cambria"/>
      <w:color w:val="17365D"/>
      <w:spacing w:val="5"/>
      <w:kern w:val="3"/>
      <w:sz w:val="44"/>
      <w:szCs w:val="52"/>
    </w:rPr>
  </w:style>
  <w:style w:type="paragraph" w:styleId="Untertitel">
    <w:name w:val="Subtitle"/>
    <w:basedOn w:val="Standard"/>
    <w:next w:val="Standard"/>
    <w:uiPriority w:val="11"/>
    <w:qFormat/>
    <w:rPr>
      <w:rFonts w:ascii="Cambria" w:eastAsia="Cambria" w:hAnsi="Cambria" w:cs="Cambria"/>
      <w:i/>
      <w:iCs/>
      <w:color w:val="4F81BD"/>
      <w:spacing w:val="15"/>
      <w:szCs w:val="24"/>
    </w:rPr>
  </w:style>
  <w:style w:type="paragraph" w:styleId="berarbeitung">
    <w:name w:val="Revision"/>
    <w:pPr>
      <w:widowControl/>
      <w:textAlignment w:val="auto"/>
    </w:pPr>
  </w:style>
  <w:style w:type="paragraph" w:customStyle="1" w:styleId="Footnote">
    <w:name w:val="Footnote"/>
    <w:basedOn w:val="Standard"/>
    <w:pPr>
      <w:spacing w:after="0" w:line="240" w:lineRule="auto"/>
    </w:pPr>
    <w:rPr>
      <w:sz w:val="20"/>
    </w:rPr>
  </w:style>
  <w:style w:type="paragraph" w:styleId="StandardWeb">
    <w:name w:val="Normal (Web)"/>
    <w:basedOn w:val="Standard"/>
    <w:uiPriority w:val="99"/>
    <w:pPr>
      <w:suppressAutoHyphens w:val="0"/>
      <w:spacing w:before="100" w:after="100" w:line="240" w:lineRule="auto"/>
      <w:textAlignment w:val="auto"/>
    </w:pPr>
    <w:rPr>
      <w:rFonts w:ascii="Times New Roman" w:hAnsi="Times New Roman"/>
      <w:szCs w:val="24"/>
    </w:rPr>
  </w:style>
  <w:style w:type="paragraph" w:customStyle="1" w:styleId="Footnoteuser">
    <w:name w:val="Footnote (user)"/>
    <w:basedOn w:val="Standard"/>
    <w:pPr>
      <w:suppressLineNumbers/>
      <w:ind w:left="339" w:hanging="339"/>
    </w:pPr>
    <w:rPr>
      <w:sz w:val="20"/>
    </w:rPr>
  </w:style>
  <w:style w:type="paragraph" w:customStyle="1" w:styleId="TableContents">
    <w:name w:val="Table Contents"/>
    <w:basedOn w:val="Standard"/>
    <w:pPr>
      <w:widowControl w:val="0"/>
      <w:suppressLineNumbers/>
    </w:pPr>
  </w:style>
  <w:style w:type="paragraph" w:styleId="Aufzhlungszeichen">
    <w:name w:val="List Bullet"/>
    <w:basedOn w:val="Standard"/>
    <w:pPr>
      <w:numPr>
        <w:numId w:val="4"/>
      </w:numPr>
      <w:contextualSpacing/>
    </w:pPr>
  </w:style>
  <w:style w:type="paragraph" w:customStyle="1" w:styleId="pf0">
    <w:name w:val="pf0"/>
    <w:basedOn w:val="Standard"/>
    <w:pPr>
      <w:suppressAutoHyphens w:val="0"/>
      <w:spacing w:before="280" w:after="280" w:line="240" w:lineRule="auto"/>
      <w:textAlignment w:val="auto"/>
    </w:pPr>
    <w:rPr>
      <w:rFonts w:ascii="Times New Roman" w:hAnsi="Times New Roman"/>
      <w:szCs w:val="24"/>
    </w:rPr>
  </w:style>
  <w:style w:type="character" w:customStyle="1" w:styleId="ListLabel2">
    <w:name w:val="ListLabel 2"/>
    <w:rPr>
      <w:b w:val="0"/>
      <w:bCs w:val="0"/>
      <w:i w:val="0"/>
      <w:iCs w:val="0"/>
      <w:caps w:val="0"/>
      <w:smallCaps w:val="0"/>
      <w:strike w:val="0"/>
      <w:dstrike w:val="0"/>
      <w:color w:val="000000"/>
      <w:spacing w:val="0"/>
      <w:w w:val="100"/>
      <w:sz w:val="22"/>
      <w:szCs w:val="22"/>
      <w:u w:val="none"/>
      <w:lang w:val="en-US" w:eastAsia="en-US" w:bidi="en-US"/>
    </w:rPr>
  </w:style>
  <w:style w:type="character" w:customStyle="1" w:styleId="WW8Num1z0">
    <w:name w:val="WW8Num1z0"/>
  </w:style>
  <w:style w:type="character" w:customStyle="1" w:styleId="WW8Num1z1">
    <w:name w:val="WW8Num1z1"/>
    <w:rPr>
      <w:rFonts w:ascii="Courier New" w:eastAsia="Courier New" w:hAnsi="Courier New" w:cs="Courier New"/>
    </w:rPr>
  </w:style>
  <w:style w:type="character" w:customStyle="1" w:styleId="WW8Num1z2">
    <w:name w:val="WW8Num1z2"/>
    <w:rPr>
      <w:rFonts w:ascii="Wingdings" w:eastAsia="Wingdings" w:hAnsi="Wingdings" w:cs="Wingdings"/>
    </w:rPr>
  </w:style>
  <w:style w:type="character" w:customStyle="1" w:styleId="WW8Num1z3">
    <w:name w:val="WW8Num1z3"/>
    <w:rPr>
      <w:rFonts w:ascii="Symbol" w:eastAsia="Symbol" w:hAnsi="Symbol" w:cs="Symbol"/>
    </w:rPr>
  </w:style>
  <w:style w:type="character" w:customStyle="1" w:styleId="WW8Num2z0">
    <w:name w:val="WW8Num2z0"/>
    <w:rPr>
      <w:rFonts w:ascii="Wingdings" w:eastAsia="Wingdings" w:hAnsi="Wingdings" w:cs="Wingdings"/>
    </w:rPr>
  </w:style>
  <w:style w:type="character" w:customStyle="1" w:styleId="WW8Num2z1">
    <w:name w:val="WW8Num2z1"/>
    <w:rPr>
      <w:rFonts w:ascii="Courier New" w:eastAsia="Courier New" w:hAnsi="Courier New" w:cs="Courier New"/>
    </w:rPr>
  </w:style>
  <w:style w:type="character" w:customStyle="1" w:styleId="WW8Num2z3">
    <w:name w:val="WW8Num2z3"/>
    <w:rPr>
      <w:rFonts w:ascii="Symbol" w:eastAsia="Symbol" w:hAnsi="Symbol" w:cs="Symbol"/>
    </w:rPr>
  </w:style>
  <w:style w:type="character" w:customStyle="1" w:styleId="WW8Num3z0">
    <w:name w:val="WW8Num3z0"/>
    <w:rPr>
      <w:rFonts w:ascii="Wingdings" w:eastAsia="Wingdings" w:hAnsi="Wingdings" w:cs="Wingdings"/>
    </w:rPr>
  </w:style>
  <w:style w:type="character" w:customStyle="1" w:styleId="WW8Num3z1">
    <w:name w:val="WW8Num3z1"/>
    <w:rPr>
      <w:rFonts w:ascii="Courier New" w:eastAsia="Courier New" w:hAnsi="Courier New" w:cs="Courier New"/>
    </w:rPr>
  </w:style>
  <w:style w:type="character" w:customStyle="1" w:styleId="WW8Num3z3">
    <w:name w:val="WW8Num3z3"/>
    <w:rPr>
      <w:rFonts w:ascii="Symbol" w:eastAsia="Symbol" w:hAnsi="Symbol" w:cs="Symbol"/>
    </w:rPr>
  </w:style>
  <w:style w:type="character" w:customStyle="1" w:styleId="WW8Num4z0">
    <w:name w:val="WW8Num4z0"/>
    <w:rPr>
      <w:rFonts w:ascii="Wingdings" w:eastAsia="Wingdings" w:hAnsi="Wingdings" w:cs="Wingdings"/>
    </w:rPr>
  </w:style>
  <w:style w:type="character" w:customStyle="1" w:styleId="WW8Num4z1">
    <w:name w:val="WW8Num4z1"/>
    <w:rPr>
      <w:rFonts w:ascii="Courier New" w:eastAsia="Courier New" w:hAnsi="Courier New" w:cs="Courier New"/>
    </w:rPr>
  </w:style>
  <w:style w:type="character" w:customStyle="1" w:styleId="WW8Num4z3">
    <w:name w:val="WW8Num4z3"/>
    <w:rPr>
      <w:rFonts w:ascii="Symbol" w:eastAsia="Symbol" w:hAnsi="Symbol" w:cs="Symbol"/>
    </w:rPr>
  </w:style>
  <w:style w:type="character" w:customStyle="1" w:styleId="WW8Num5z0">
    <w:name w:val="WW8Num5z0"/>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WW8Num5z3">
    <w:name w:val="WW8Num5z3"/>
    <w:rPr>
      <w:rFonts w:ascii="Symbol" w:eastAsia="Symbol" w:hAnsi="Symbol" w:cs="Symbol"/>
    </w:rPr>
  </w:style>
  <w:style w:type="character" w:customStyle="1" w:styleId="WW8Num6z0">
    <w:name w:val="WW8Num6z0"/>
  </w:style>
  <w:style w:type="character" w:customStyle="1" w:styleId="WW8Num6z1">
    <w:name w:val="WW8Num6z1"/>
    <w:rPr>
      <w:rFonts w:ascii="Courier New" w:eastAsia="Courier New" w:hAnsi="Courier New" w:cs="Courier New"/>
    </w:rPr>
  </w:style>
  <w:style w:type="character" w:customStyle="1" w:styleId="WW8Num6z2">
    <w:name w:val="WW8Num6z2"/>
    <w:rPr>
      <w:rFonts w:ascii="Wingdings" w:eastAsia="Wingdings" w:hAnsi="Wingdings" w:cs="Wingdings"/>
    </w:rPr>
  </w:style>
  <w:style w:type="character" w:customStyle="1" w:styleId="WW8Num6z3">
    <w:name w:val="WW8Num6z3"/>
    <w:rPr>
      <w:rFonts w:ascii="Symbol" w:eastAsia="Symbol" w:hAnsi="Symbol" w:cs="Symbol"/>
    </w:rPr>
  </w:style>
  <w:style w:type="character" w:customStyle="1" w:styleId="Absatz-Standardschriftart1">
    <w:name w:val="Absatz-Standardschriftart1"/>
  </w:style>
  <w:style w:type="character" w:styleId="Seitenzahl">
    <w:name w:val="page number"/>
    <w:basedOn w:val="Absatz-Standardschriftart1"/>
  </w:style>
  <w:style w:type="character" w:customStyle="1" w:styleId="KopfzeileZchn">
    <w:name w:val="Kopfzeile Zchn"/>
    <w:basedOn w:val="Absatz-Standardschriftart"/>
  </w:style>
  <w:style w:type="character" w:styleId="Platzhaltertext">
    <w:name w:val="Placeholder Text"/>
    <w:basedOn w:val="Absatz-Standardschriftart"/>
    <w:rPr>
      <w:color w:val="808080"/>
    </w:rPr>
  </w:style>
  <w:style w:type="character" w:styleId="Kommentarzeichen">
    <w:name w:val="annotation reference"/>
    <w:basedOn w:val="Absatz-Standardschriftart"/>
    <w:rPr>
      <w:sz w:val="16"/>
      <w:szCs w:val="16"/>
    </w:rPr>
  </w:style>
  <w:style w:type="character" w:customStyle="1" w:styleId="KommentartextZchn">
    <w:name w:val="Kommentartext Zchn"/>
    <w:basedOn w:val="Absatz-Standardschriftart"/>
  </w:style>
  <w:style w:type="character" w:customStyle="1" w:styleId="KommentarthemaZchn">
    <w:name w:val="Kommentarthema Zchn"/>
    <w:basedOn w:val="KommentartextZchn"/>
    <w:rPr>
      <w:b/>
      <w:bCs/>
    </w:rPr>
  </w:style>
  <w:style w:type="character" w:customStyle="1" w:styleId="MSGENFONTSTYLENAMETEMPLATEROLENUMBERMSGENFONTSTYLENAMEBYROLETEXT20">
    <w:name w:val="MSG_EN_FONT_STYLE_NAME_TEMPLATE_ROLE_NUMBER MSG_EN_FONT_STYLE_NAME_BY_ROLE_TEXT 2_"/>
    <w:basedOn w:val="Absatz-Standardschriftart"/>
    <w:rPr>
      <w:rFonts w:ascii="Arial" w:eastAsia="Arial" w:hAnsi="Arial" w:cs="Arial"/>
      <w:sz w:val="22"/>
      <w:szCs w:val="22"/>
      <w:shd w:val="clear" w:color="auto" w:fill="FFFFFF"/>
    </w:rPr>
  </w:style>
  <w:style w:type="character" w:customStyle="1" w:styleId="ListLabel1">
    <w:name w:val="ListLabel 1"/>
    <w:rPr>
      <w:rFonts w:cs="Courier New"/>
    </w:rPr>
  </w:style>
  <w:style w:type="character" w:customStyle="1" w:styleId="ListLabel3">
    <w:name w:val="ListLabel 3"/>
    <w:rPr>
      <w:rFonts w:cs="Courier New"/>
    </w:rPr>
  </w:style>
  <w:style w:type="character" w:customStyle="1" w:styleId="MSGENFONTSTYLENAMETEMPLATEROLELEVELMSGENFONTSTYLENAMEBYROLEHEADING10">
    <w:name w:val="MSG_EN_FONT_STYLE_NAME_TEMPLATE_ROLE_LEVEL MSG_EN_FONT_STYLE_NAME_BY_ROLE_HEADING 1_"/>
    <w:basedOn w:val="Absatz-Standardschriftart"/>
    <w:rPr>
      <w:rFonts w:ascii="Arial" w:eastAsia="Arial" w:hAnsi="Arial" w:cs="Arial"/>
      <w:shd w:val="clear" w:color="auto" w:fill="FFFFFF"/>
    </w:rPr>
  </w:style>
  <w:style w:type="character" w:customStyle="1" w:styleId="Internetlinkuser">
    <w:name w:val="Internet link (user)"/>
    <w:rPr>
      <w:color w:val="000080"/>
      <w:u w:val="single"/>
    </w:rPr>
  </w:style>
  <w:style w:type="character" w:customStyle="1" w:styleId="VisitedInternetLinkuser">
    <w:name w:val="Visited Internet Link (user)"/>
    <w:rPr>
      <w:color w:val="800000"/>
      <w:u w:val="single"/>
    </w:rPr>
  </w:style>
  <w:style w:type="character" w:customStyle="1" w:styleId="Internetlink">
    <w:name w:val="Internet link"/>
    <w:basedOn w:val="Absatz-Standardschriftart"/>
    <w:rPr>
      <w:color w:val="0000FF"/>
      <w:u w:val="single"/>
    </w:rPr>
  </w:style>
  <w:style w:type="character" w:customStyle="1" w:styleId="KeinLeerraumZchn">
    <w:name w:val="Kein Leerraum Zchn"/>
    <w:basedOn w:val="Absatz-Standardschriftart"/>
    <w:rPr>
      <w:rFonts w:ascii="Calibri" w:eastAsia="Times New Roman" w:hAnsi="Calibri" w:cs="Arial"/>
      <w:sz w:val="22"/>
      <w:szCs w:val="22"/>
    </w:rPr>
  </w:style>
  <w:style w:type="character" w:customStyle="1" w:styleId="TitelZchn">
    <w:name w:val="Titel Zchn"/>
    <w:basedOn w:val="Absatz-Standardschriftart"/>
    <w:rPr>
      <w:rFonts w:ascii="Cambria" w:eastAsia="Times New Roman" w:hAnsi="Cambria" w:cs="Times New Roman"/>
      <w:color w:val="17365D"/>
      <w:spacing w:val="5"/>
      <w:kern w:val="3"/>
      <w:sz w:val="44"/>
      <w:szCs w:val="52"/>
    </w:rPr>
  </w:style>
  <w:style w:type="character" w:customStyle="1" w:styleId="UntertitelZchn">
    <w:name w:val="Untertitel Zchn"/>
    <w:basedOn w:val="Absatz-Standardschriftart"/>
    <w:rPr>
      <w:rFonts w:ascii="Cambria" w:eastAsia="Times New Roman" w:hAnsi="Cambria" w:cs="Times New Roman"/>
      <w:i/>
      <w:iCs/>
      <w:color w:val="4F81BD"/>
      <w:spacing w:val="15"/>
      <w:szCs w:val="24"/>
    </w:rPr>
  </w:style>
  <w:style w:type="character" w:customStyle="1" w:styleId="berschrift2Zchn">
    <w:name w:val="Überschrift 2 Zchn"/>
    <w:basedOn w:val="Absatz-Standardschriftart"/>
    <w:rPr>
      <w:rFonts w:ascii="Cambria" w:eastAsia="Times New Roman" w:hAnsi="Cambria" w:cs="Times New Roman"/>
      <w:b/>
      <w:bCs/>
      <w:color w:val="4F81BD"/>
      <w:sz w:val="26"/>
      <w:szCs w:val="26"/>
    </w:rPr>
  </w:style>
  <w:style w:type="character" w:customStyle="1" w:styleId="berschrift1Zchn">
    <w:name w:val="Überschrift 1 Zchn"/>
    <w:basedOn w:val="Absatz-Standardschriftart"/>
    <w:rPr>
      <w:rFonts w:eastAsia="Microsoft YaHei" w:cs="Mangal"/>
      <w:b/>
      <w:bCs/>
      <w:color w:val="4F81BD"/>
      <w:sz w:val="28"/>
      <w:szCs w:val="28"/>
    </w:rPr>
  </w:style>
  <w:style w:type="character" w:styleId="Fett">
    <w:name w:val="Strong"/>
    <w:basedOn w:val="Absatz-Standardschriftart"/>
    <w:rPr>
      <w:b/>
      <w:bCs/>
    </w:rPr>
  </w:style>
  <w:style w:type="character" w:styleId="Hervorhebung">
    <w:name w:val="Emphasis"/>
    <w:rPr>
      <w:i/>
      <w:iCs/>
    </w:rPr>
  </w:style>
  <w:style w:type="character" w:customStyle="1" w:styleId="ckeimageresizer">
    <w:name w:val="cke_image_resizer"/>
    <w:basedOn w:val="Absatz-Standardschriftart"/>
  </w:style>
  <w:style w:type="character" w:customStyle="1" w:styleId="VisitedInternetLink">
    <w:name w:val="Visited Internet Link"/>
    <w:basedOn w:val="Absatz-Standardschriftart"/>
    <w:rPr>
      <w:color w:val="800080"/>
      <w:u w:val="single"/>
    </w:rPr>
  </w:style>
  <w:style w:type="character" w:customStyle="1" w:styleId="NichtaufgelsteErwhnung1">
    <w:name w:val="Nicht aufgelöste Erwähnung1"/>
    <w:basedOn w:val="Absatz-Standardschriftart"/>
    <w:rPr>
      <w:color w:val="605E5C"/>
      <w:shd w:val="clear" w:color="auto" w:fill="E1DFDD"/>
    </w:rPr>
  </w:style>
  <w:style w:type="character" w:customStyle="1" w:styleId="showbody">
    <w:name w:val="showbody"/>
    <w:basedOn w:val="Absatz-Standardschriftart"/>
  </w:style>
  <w:style w:type="character" w:styleId="NichtaufgelsteErwhnung">
    <w:name w:val="Unresolved Mention"/>
    <w:basedOn w:val="Absatz-Standardschriftart"/>
    <w:rPr>
      <w:color w:val="605E5C"/>
      <w:shd w:val="clear" w:color="auto" w:fill="E1DFDD"/>
    </w:rPr>
  </w:style>
  <w:style w:type="character" w:customStyle="1" w:styleId="FunotentextZchn">
    <w:name w:val="Fußnotentext Zchn"/>
    <w:basedOn w:val="Absatz-Standardschriftart"/>
    <w:rPr>
      <w:sz w:val="20"/>
    </w:rPr>
  </w:style>
  <w:style w:type="character" w:customStyle="1" w:styleId="FootnoteSymbol">
    <w:name w:val="Footnote Symbol"/>
    <w:basedOn w:val="Absatz-Standardschriftart"/>
    <w:rPr>
      <w:position w:val="0"/>
      <w:vertAlign w:val="superscript"/>
    </w:rPr>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StrongEmphasis">
    <w:name w:val="Strong Emphasis"/>
    <w:rPr>
      <w:b/>
      <w:bCs/>
    </w:rPr>
  </w:style>
  <w:style w:type="character" w:customStyle="1" w:styleId="cf01">
    <w:name w:val="cf01"/>
    <w:basedOn w:val="Absatz-Standardschriftart"/>
    <w:rPr>
      <w:rFonts w:ascii="Segoe UI" w:eastAsia="Segoe UI" w:hAnsi="Segoe UI" w:cs="Segoe UI"/>
      <w:sz w:val="18"/>
      <w:szCs w:val="18"/>
    </w:rPr>
  </w:style>
  <w:style w:type="character" w:customStyle="1" w:styleId="cf11">
    <w:name w:val="cf11"/>
    <w:basedOn w:val="Absatz-Standardschriftart"/>
    <w:rPr>
      <w:rFonts w:ascii="Segoe UI" w:eastAsia="Segoe UI" w:hAnsi="Segoe UI" w:cs="Segoe UI"/>
      <w:i/>
      <w:iCs/>
      <w:sz w:val="18"/>
      <w:szCs w:val="18"/>
    </w:rPr>
  </w:style>
  <w:style w:type="character" w:customStyle="1" w:styleId="ListLabel4">
    <w:name w:val="ListLabel 4"/>
    <w:rPr>
      <w:b w:val="0"/>
      <w:bCs w:val="0"/>
      <w:i w:val="0"/>
      <w:iCs w:val="0"/>
      <w:caps w:val="0"/>
      <w:smallCaps w:val="0"/>
      <w:strike w:val="0"/>
      <w:dstrike w:val="0"/>
      <w:color w:val="000000"/>
      <w:spacing w:val="0"/>
      <w:w w:val="100"/>
      <w:sz w:val="22"/>
      <w:szCs w:val="22"/>
      <w:u w:val="none"/>
      <w:lang w:val="en-US" w:eastAsia="en-US" w:bidi="en-US"/>
    </w:rPr>
  </w:style>
  <w:style w:type="numbering" w:customStyle="1" w:styleId="KeineListe1">
    <w:name w:val="Keine Liste1"/>
    <w:basedOn w:val="KeineListe"/>
    <w:pPr>
      <w:numPr>
        <w:numId w:val="1"/>
      </w:numPr>
    </w:pPr>
  </w:style>
  <w:style w:type="numbering" w:customStyle="1" w:styleId="WWNum2">
    <w:name w:val="WWNum2"/>
    <w:basedOn w:val="KeineListe"/>
    <w:pPr>
      <w:numPr>
        <w:numId w:val="2"/>
      </w:numPr>
    </w:pPr>
  </w:style>
  <w:style w:type="numbering" w:customStyle="1" w:styleId="WWNum1">
    <w:name w:val="WWNum1"/>
    <w:basedOn w:val="KeineListe"/>
    <w:pPr>
      <w:numPr>
        <w:numId w:val="3"/>
      </w:numPr>
    </w:pPr>
  </w:style>
  <w:style w:type="numbering" w:customStyle="1" w:styleId="WWNum2a">
    <w:name w:val="WWNum2a"/>
    <w:basedOn w:val="KeineListe"/>
    <w:pPr>
      <w:numPr>
        <w:numId w:val="4"/>
      </w:numPr>
    </w:pPr>
  </w:style>
  <w:style w:type="character" w:styleId="Funotenzeichen">
    <w:name w:val="footnote reference"/>
    <w:basedOn w:val="Absatz-Standardschriftar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32131">
      <w:bodyDiv w:val="1"/>
      <w:marLeft w:val="0"/>
      <w:marRight w:val="0"/>
      <w:marTop w:val="0"/>
      <w:marBottom w:val="0"/>
      <w:divBdr>
        <w:top w:val="none" w:sz="0" w:space="0" w:color="auto"/>
        <w:left w:val="none" w:sz="0" w:space="0" w:color="auto"/>
        <w:bottom w:val="none" w:sz="0" w:space="0" w:color="auto"/>
        <w:right w:val="none" w:sz="0" w:space="0" w:color="auto"/>
      </w:divBdr>
    </w:div>
    <w:div w:id="632175140">
      <w:bodyDiv w:val="1"/>
      <w:marLeft w:val="0"/>
      <w:marRight w:val="0"/>
      <w:marTop w:val="0"/>
      <w:marBottom w:val="0"/>
      <w:divBdr>
        <w:top w:val="none" w:sz="0" w:space="0" w:color="auto"/>
        <w:left w:val="none" w:sz="0" w:space="0" w:color="auto"/>
        <w:bottom w:val="none" w:sz="0" w:space="0" w:color="auto"/>
        <w:right w:val="none" w:sz="0" w:space="0" w:color="auto"/>
      </w:divBdr>
      <w:divsChild>
        <w:div w:id="1645312276">
          <w:marLeft w:val="0"/>
          <w:marRight w:val="0"/>
          <w:marTop w:val="0"/>
          <w:marBottom w:val="0"/>
          <w:divBdr>
            <w:top w:val="none" w:sz="0" w:space="0" w:color="auto"/>
            <w:left w:val="none" w:sz="0" w:space="0" w:color="auto"/>
            <w:bottom w:val="none" w:sz="0" w:space="0" w:color="auto"/>
            <w:right w:val="none" w:sz="0" w:space="0" w:color="auto"/>
          </w:divBdr>
        </w:div>
      </w:divsChild>
    </w:div>
    <w:div w:id="839276696">
      <w:bodyDiv w:val="1"/>
      <w:marLeft w:val="0"/>
      <w:marRight w:val="0"/>
      <w:marTop w:val="0"/>
      <w:marBottom w:val="0"/>
      <w:divBdr>
        <w:top w:val="none" w:sz="0" w:space="0" w:color="auto"/>
        <w:left w:val="none" w:sz="0" w:space="0" w:color="auto"/>
        <w:bottom w:val="none" w:sz="0" w:space="0" w:color="auto"/>
        <w:right w:val="none" w:sz="0" w:space="0" w:color="auto"/>
      </w:divBdr>
      <w:divsChild>
        <w:div w:id="2027321260">
          <w:marLeft w:val="0"/>
          <w:marRight w:val="0"/>
          <w:marTop w:val="0"/>
          <w:marBottom w:val="0"/>
          <w:divBdr>
            <w:top w:val="none" w:sz="0" w:space="0" w:color="auto"/>
            <w:left w:val="none" w:sz="0" w:space="0" w:color="auto"/>
            <w:bottom w:val="none" w:sz="0" w:space="0" w:color="auto"/>
            <w:right w:val="none" w:sz="0" w:space="0" w:color="auto"/>
          </w:divBdr>
        </w:div>
      </w:divsChild>
    </w:div>
    <w:div w:id="1265262705">
      <w:bodyDiv w:val="1"/>
      <w:marLeft w:val="0"/>
      <w:marRight w:val="0"/>
      <w:marTop w:val="0"/>
      <w:marBottom w:val="0"/>
      <w:divBdr>
        <w:top w:val="none" w:sz="0" w:space="0" w:color="auto"/>
        <w:left w:val="none" w:sz="0" w:space="0" w:color="auto"/>
        <w:bottom w:val="none" w:sz="0" w:space="0" w:color="auto"/>
        <w:right w:val="none" w:sz="0" w:space="0" w:color="auto"/>
      </w:divBdr>
      <w:divsChild>
        <w:div w:id="1352221069">
          <w:marLeft w:val="0"/>
          <w:marRight w:val="0"/>
          <w:marTop w:val="0"/>
          <w:marBottom w:val="0"/>
          <w:divBdr>
            <w:top w:val="none" w:sz="0" w:space="0" w:color="auto"/>
            <w:left w:val="none" w:sz="0" w:space="0" w:color="auto"/>
            <w:bottom w:val="none" w:sz="0" w:space="0" w:color="auto"/>
            <w:right w:val="none" w:sz="0" w:space="0" w:color="auto"/>
          </w:divBdr>
        </w:div>
      </w:divsChild>
    </w:div>
    <w:div w:id="1580748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chule-bw.de/resolveuid/d5100e1e2ebe47afb7fcc661b86c3ef4"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chule-bw.de/resolveuid/e65fa2434a4342ec9a3c108a46338b56"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schule-bw.de/faecher-und-schularten/sprachen-und-literatur/latein/texte-und-medien/cicero-philosophie/cicero-de-finibus-bonorum-et-malorum/de-finibus-1-42.html" TargetMode="External"/><Relationship Id="rId4" Type="http://schemas.openxmlformats.org/officeDocument/2006/relationships/webSettings" Target="webSettings.xml"/><Relationship Id="rId9" Type="http://schemas.openxmlformats.org/officeDocument/2006/relationships/hyperlink" Target="https://latin.packhum.org/loc/474/48/13/1440-1463@1"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latein-bw.de/" TargetMode="External"/><Relationship Id="rId2" Type="http://schemas.openxmlformats.org/officeDocument/2006/relationships/hyperlink" Target="https://www.schule-bw.de/" TargetMode="External"/><Relationship Id="rId1" Type="http://schemas.openxmlformats.org/officeDocument/2006/relationships/hyperlink" Target="https://creativecommons.org/licenses/by/4.0/legalcode" TargetMode="External"/><Relationship Id="rId4" Type="http://schemas.openxmlformats.org/officeDocument/2006/relationships/hyperlink" Target="https://www.schule-bw.de/urheberrech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chule-bw.de/faecher-und-schularten/sprachen-und-literatur/latein/sprache/satzlehr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3459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Cicero, De finibus 1, 42 mit Übersetzungshilfen</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Cicero, De finibus 1, 42 mit Übersetzungshilfen</dc:title>
  <dc:creator>Tilman Bechthold-Hengelhaupt</dc:creator>
  <cp:lastModifiedBy>Tilman Bechthold-Hengelhaupt</cp:lastModifiedBy>
  <cp:revision>10</cp:revision>
  <dcterms:created xsi:type="dcterms:W3CDTF">2021-11-30T20:06:00Z</dcterms:created>
  <dcterms:modified xsi:type="dcterms:W3CDTF">2021-12-01T21:09:00Z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