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EE6" w:rsidRPr="00612EE6" w:rsidRDefault="00612EE6" w:rsidP="00683D0F">
      <w:pPr>
        <w:shd w:val="clear" w:color="auto" w:fill="FFC000" w:themeFill="accent4"/>
        <w:rPr>
          <w:rFonts w:ascii="Times New Roman" w:hAnsi="Times New Roman" w:cs="Times New Roman"/>
          <w:sz w:val="6"/>
          <w:szCs w:val="6"/>
        </w:rPr>
      </w:pPr>
    </w:p>
    <w:p w:rsidR="00612EE6" w:rsidRPr="00FD5E1E" w:rsidRDefault="00CC7117" w:rsidP="00FD5E1E">
      <w:pPr>
        <w:shd w:val="clear" w:color="auto" w:fill="FFC000" w:themeFill="accent4"/>
        <w:tabs>
          <w:tab w:val="right" w:pos="7427"/>
        </w:tabs>
        <w:jc w:val="center"/>
        <w:rPr>
          <w:rFonts w:ascii="Calibri" w:hAnsi="Calibri" w:cs="Calibri"/>
          <w:b/>
          <w:sz w:val="28"/>
          <w:szCs w:val="28"/>
        </w:rPr>
      </w:pPr>
      <w:r>
        <w:rPr>
          <w:rFonts w:ascii="Calibri" w:hAnsi="Calibri" w:cs="Calibri"/>
          <w:b/>
          <w:sz w:val="28"/>
          <w:szCs w:val="28"/>
        </w:rPr>
        <w:t>Wie ernähren sich</w:t>
      </w:r>
      <w:r w:rsidR="00683D0F" w:rsidRPr="00FD5E1E">
        <w:rPr>
          <w:rFonts w:ascii="Calibri" w:hAnsi="Calibri" w:cs="Calibri"/>
          <w:b/>
          <w:sz w:val="28"/>
          <w:szCs w:val="28"/>
        </w:rPr>
        <w:t xml:space="preserve"> </w:t>
      </w:r>
      <w:r w:rsidR="00A93EE3">
        <w:rPr>
          <w:rFonts w:ascii="Calibri" w:hAnsi="Calibri" w:cs="Calibri"/>
          <w:b/>
          <w:sz w:val="28"/>
          <w:szCs w:val="28"/>
        </w:rPr>
        <w:t>Seegurken</w:t>
      </w:r>
      <w:r w:rsidR="00683D0F" w:rsidRPr="00FD5E1E">
        <w:rPr>
          <w:rFonts w:ascii="Calibri" w:hAnsi="Calibri" w:cs="Calibri"/>
          <w:b/>
          <w:sz w:val="28"/>
          <w:szCs w:val="28"/>
        </w:rPr>
        <w:t>?</w:t>
      </w:r>
    </w:p>
    <w:p w:rsidR="00612EE6" w:rsidRPr="00612EE6" w:rsidRDefault="00612EE6" w:rsidP="00683D0F">
      <w:pPr>
        <w:shd w:val="clear" w:color="auto" w:fill="FFC000" w:themeFill="accent4"/>
        <w:rPr>
          <w:rFonts w:ascii="Times New Roman" w:hAnsi="Times New Roman" w:cs="Times New Roman"/>
          <w:sz w:val="6"/>
          <w:szCs w:val="6"/>
        </w:rPr>
      </w:pPr>
    </w:p>
    <w:p w:rsidR="00B94242" w:rsidRDefault="001F4422" w:rsidP="00E301D1">
      <w:pPr>
        <w:spacing w:before="140"/>
        <w:jc w:val="both"/>
        <w:rPr>
          <w:rFonts w:ascii="Calibri" w:hAnsi="Calibri" w:cs="Calibri"/>
          <w:b/>
        </w:rPr>
      </w:pPr>
      <w:r>
        <w:rPr>
          <w:rFonts w:ascii="Calibri" w:hAnsi="Calibri" w:cs="Calibri"/>
          <w:b/>
        </w:rPr>
        <w:t xml:space="preserve">Sie fällt jedem </w:t>
      </w:r>
      <w:proofErr w:type="spellStart"/>
      <w:r>
        <w:rPr>
          <w:rFonts w:ascii="Calibri" w:hAnsi="Calibri" w:cs="Calibri"/>
          <w:b/>
        </w:rPr>
        <w:t>Schnorchelanfänger</w:t>
      </w:r>
      <w:proofErr w:type="spellEnd"/>
      <w:r>
        <w:rPr>
          <w:rFonts w:ascii="Calibri" w:hAnsi="Calibri" w:cs="Calibri"/>
          <w:b/>
        </w:rPr>
        <w:t xml:space="preserve"> auf und ist leicht einer Tiergruppe zuzuordnen: Die dunkle Wurst am Meeresgrund ist eine Seegurke. Es handelt sich im Mittelmeer in den allermeisten Fällen um die Art </w:t>
      </w:r>
      <w:proofErr w:type="spellStart"/>
      <w:r w:rsidRPr="001F4422">
        <w:rPr>
          <w:rFonts w:ascii="Calibri" w:hAnsi="Calibri" w:cs="Calibri"/>
          <w:b/>
          <w:i/>
        </w:rPr>
        <w:t>Holothuria</w:t>
      </w:r>
      <w:proofErr w:type="spellEnd"/>
      <w:r w:rsidRPr="001F4422">
        <w:rPr>
          <w:rFonts w:ascii="Calibri" w:hAnsi="Calibri" w:cs="Calibri"/>
          <w:b/>
          <w:i/>
        </w:rPr>
        <w:t xml:space="preserve"> </w:t>
      </w:r>
      <w:proofErr w:type="spellStart"/>
      <w:r w:rsidRPr="001F4422">
        <w:rPr>
          <w:rFonts w:ascii="Calibri" w:hAnsi="Calibri" w:cs="Calibri"/>
          <w:b/>
          <w:i/>
        </w:rPr>
        <w:t>tubulosa</w:t>
      </w:r>
      <w:proofErr w:type="spellEnd"/>
      <w:r w:rsidR="00956022">
        <w:rPr>
          <w:rFonts w:ascii="Calibri" w:hAnsi="Calibri" w:cs="Calibri"/>
          <w:b/>
        </w:rPr>
        <w:t xml:space="preserve"> (Röhrenseegurke; s. Abbildung</w:t>
      </w:r>
      <w:r w:rsidR="00717790">
        <w:rPr>
          <w:rFonts w:ascii="Calibri" w:hAnsi="Calibri" w:cs="Calibri"/>
          <w:b/>
        </w:rPr>
        <w:t xml:space="preserve"> 1</w:t>
      </w:r>
      <w:r w:rsidR="00956022">
        <w:rPr>
          <w:rFonts w:ascii="Calibri" w:hAnsi="Calibri" w:cs="Calibri"/>
          <w:b/>
        </w:rPr>
        <w:t>).</w:t>
      </w:r>
      <w:r w:rsidR="00CC7117">
        <w:rPr>
          <w:rFonts w:ascii="Calibri" w:hAnsi="Calibri" w:cs="Calibri"/>
          <w:b/>
        </w:rPr>
        <w:t xml:space="preserve"> </w:t>
      </w:r>
      <w:r w:rsidR="00956022">
        <w:rPr>
          <w:rFonts w:ascii="Calibri" w:hAnsi="Calibri" w:cs="Calibri"/>
          <w:b/>
        </w:rPr>
        <w:t xml:space="preserve">Bei genauerem Hinsehen entdeckt man am </w:t>
      </w:r>
      <w:proofErr w:type="spellStart"/>
      <w:r w:rsidR="00956022">
        <w:rPr>
          <w:rFonts w:ascii="Calibri" w:hAnsi="Calibri" w:cs="Calibri"/>
          <w:b/>
        </w:rPr>
        <w:t>Hinterende</w:t>
      </w:r>
      <w:proofErr w:type="spellEnd"/>
      <w:r w:rsidR="00956022">
        <w:rPr>
          <w:rFonts w:ascii="Calibri" w:hAnsi="Calibri" w:cs="Calibri"/>
          <w:b/>
        </w:rPr>
        <w:t xml:space="preserve"> der Tiere nicht selten die Kotwürste der Tiere (s. Abbildung</w:t>
      </w:r>
      <w:r w:rsidR="00E301D1">
        <w:rPr>
          <w:rFonts w:ascii="Calibri" w:hAnsi="Calibri" w:cs="Calibri"/>
          <w:b/>
        </w:rPr>
        <w:t xml:space="preserve"> 1</w:t>
      </w:r>
      <w:r w:rsidR="00956022">
        <w:rPr>
          <w:rFonts w:ascii="Calibri" w:hAnsi="Calibri" w:cs="Calibri"/>
          <w:b/>
        </w:rPr>
        <w:t xml:space="preserve">). Damit verbinden wir etwas Unangenehmes und Stinkendes. Nicht so in diesem Fall. Die </w:t>
      </w:r>
      <w:proofErr w:type="spellStart"/>
      <w:r w:rsidR="00956022">
        <w:rPr>
          <w:rFonts w:ascii="Calibri" w:hAnsi="Calibri" w:cs="Calibri"/>
          <w:b/>
        </w:rPr>
        <w:t>Kotwurst</w:t>
      </w:r>
      <w:proofErr w:type="spellEnd"/>
      <w:r w:rsidR="00956022">
        <w:rPr>
          <w:rFonts w:ascii="Calibri" w:hAnsi="Calibri" w:cs="Calibri"/>
          <w:b/>
        </w:rPr>
        <w:t xml:space="preserve"> entpuppt sich als Ansammlung von Sandkörnern, die in eine dünne durchsichtige Membran eingehüllt sind. Fressen Seegurken etwa Sand? Kann man davon leben? </w:t>
      </w:r>
      <w:r w:rsidR="002114CE">
        <w:rPr>
          <w:rFonts w:ascii="Calibri" w:hAnsi="Calibri" w:cs="Calibri"/>
          <w:b/>
        </w:rPr>
        <w:t xml:space="preserve">Wie funktioniert </w:t>
      </w:r>
      <w:r w:rsidR="00956022">
        <w:rPr>
          <w:rFonts w:ascii="Calibri" w:hAnsi="Calibri" w:cs="Calibri"/>
          <w:b/>
        </w:rPr>
        <w:t>ihre</w:t>
      </w:r>
      <w:r w:rsidR="002114CE">
        <w:rPr>
          <w:rFonts w:ascii="Calibri" w:hAnsi="Calibri" w:cs="Calibri"/>
          <w:b/>
        </w:rPr>
        <w:t xml:space="preserve"> Ernährungsweise? </w:t>
      </w:r>
    </w:p>
    <w:p w:rsidR="00717790" w:rsidRPr="008117C4" w:rsidRDefault="00717790" w:rsidP="00717790">
      <w:pPr>
        <w:rPr>
          <w:rFonts w:ascii="Calibri" w:hAnsi="Calibri" w:cs="Calibri"/>
          <w:b/>
          <w:sz w:val="14"/>
          <w:szCs w:val="14"/>
        </w:rPr>
      </w:pPr>
    </w:p>
    <w:p w:rsidR="00A93EE3" w:rsidRDefault="005C4851" w:rsidP="00717790">
      <w:pPr>
        <w:rPr>
          <w:rFonts w:ascii="Calibri" w:hAnsi="Calibri" w:cs="Calibri"/>
          <w:b/>
        </w:rPr>
      </w:pPr>
      <w:r>
        <w:rPr>
          <w:rFonts w:ascii="Calibri" w:hAnsi="Calibri" w:cs="Calibri"/>
          <w:b/>
          <w:noProof/>
        </w:rPr>
        <w:drawing>
          <wp:inline distT="0" distB="0" distL="0" distR="0">
            <wp:extent cx="4673600" cy="2971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lothuria.jpg"/>
                    <pic:cNvPicPr/>
                  </pic:nvPicPr>
                  <pic:blipFill>
                    <a:blip r:embed="rId6">
                      <a:extLst>
                        <a:ext uri="{28A0092B-C50C-407E-A947-70E740481C1C}">
                          <a14:useLocalDpi xmlns:a14="http://schemas.microsoft.com/office/drawing/2010/main" val="0"/>
                        </a:ext>
                      </a:extLst>
                    </a:blip>
                    <a:stretch>
                      <a:fillRect/>
                    </a:stretch>
                  </pic:blipFill>
                  <pic:spPr>
                    <a:xfrm>
                      <a:off x="0" y="0"/>
                      <a:ext cx="4673600" cy="2971800"/>
                    </a:xfrm>
                    <a:prstGeom prst="rect">
                      <a:avLst/>
                    </a:prstGeom>
                  </pic:spPr>
                </pic:pic>
              </a:graphicData>
            </a:graphic>
          </wp:inline>
        </w:drawing>
      </w:r>
    </w:p>
    <w:p w:rsidR="00717790" w:rsidRPr="00717790" w:rsidRDefault="008117C4" w:rsidP="008117C4">
      <w:pPr>
        <w:rPr>
          <w:rFonts w:ascii="Calibri" w:hAnsi="Calibri" w:cs="Calibri"/>
          <w:sz w:val="20"/>
          <w:szCs w:val="20"/>
        </w:rPr>
      </w:pPr>
      <w:r>
        <w:rPr>
          <w:rFonts w:ascii="Calibri" w:hAnsi="Calibri" w:cs="Calibri"/>
          <w:sz w:val="20"/>
          <w:szCs w:val="20"/>
        </w:rPr>
        <w:t>Abb. 1</w:t>
      </w:r>
      <w:r w:rsidR="00717790" w:rsidRPr="00717790">
        <w:rPr>
          <w:rFonts w:ascii="Calibri" w:hAnsi="Calibri" w:cs="Calibri"/>
          <w:sz w:val="20"/>
          <w:szCs w:val="20"/>
        </w:rPr>
        <w:t xml:space="preserve">: Röhrenseegurke mit </w:t>
      </w:r>
      <w:r>
        <w:rPr>
          <w:rFonts w:ascii="Calibri" w:hAnsi="Calibri" w:cs="Calibri"/>
          <w:sz w:val="20"/>
          <w:szCs w:val="20"/>
        </w:rPr>
        <w:t>Kotwürsten (</w:t>
      </w:r>
      <w:proofErr w:type="spellStart"/>
      <w:r>
        <w:rPr>
          <w:rFonts w:ascii="Calibri" w:hAnsi="Calibri" w:cs="Calibri"/>
          <w:sz w:val="20"/>
          <w:szCs w:val="20"/>
        </w:rPr>
        <w:t>Ausschnittsvergrößerung</w:t>
      </w:r>
      <w:proofErr w:type="spellEnd"/>
      <w:r>
        <w:rPr>
          <w:rFonts w:ascii="Calibri" w:hAnsi="Calibri" w:cs="Calibri"/>
          <w:sz w:val="20"/>
          <w:szCs w:val="20"/>
        </w:rPr>
        <w:t>: Kotwürste)</w:t>
      </w:r>
    </w:p>
    <w:p w:rsidR="002A5789" w:rsidRDefault="00406C65" w:rsidP="00E301D1">
      <w:pPr>
        <w:spacing w:before="140"/>
        <w:jc w:val="both"/>
        <w:rPr>
          <w:rFonts w:ascii="Calibri" w:hAnsi="Calibri" w:cs="Calibri"/>
        </w:rPr>
      </w:pPr>
      <w:r>
        <w:rPr>
          <w:rFonts w:ascii="Calibri" w:hAnsi="Calibri" w:cs="Calibri"/>
        </w:rPr>
        <w:t xml:space="preserve">Tatsächlich fressen Seegurken Sand. Sie haben in ihrem Mundbereich sogar spezielle </w:t>
      </w:r>
      <w:r w:rsidR="00E301D1">
        <w:rPr>
          <w:rFonts w:ascii="Calibri" w:hAnsi="Calibri" w:cs="Calibri"/>
        </w:rPr>
        <w:t>Vor</w:t>
      </w:r>
      <w:r>
        <w:rPr>
          <w:rFonts w:ascii="Calibri" w:hAnsi="Calibri" w:cs="Calibri"/>
        </w:rPr>
        <w:t>richtungen</w:t>
      </w:r>
      <w:r w:rsidR="00E301D1">
        <w:rPr>
          <w:rFonts w:ascii="Calibri" w:hAnsi="Calibri" w:cs="Calibri"/>
        </w:rPr>
        <w:t xml:space="preserve"> entwickelt</w:t>
      </w:r>
      <w:r>
        <w:rPr>
          <w:rFonts w:ascii="Calibri" w:hAnsi="Calibri" w:cs="Calibri"/>
        </w:rPr>
        <w:t xml:space="preserve">, sogenannte Mundtentakeln, die </w:t>
      </w:r>
      <w:r w:rsidR="00717790">
        <w:rPr>
          <w:rFonts w:ascii="Calibri" w:hAnsi="Calibri" w:cs="Calibri"/>
        </w:rPr>
        <w:t xml:space="preserve">der Aufnahme der Sandkörner dienen. Zumeist sind diese Mundtentakeln im Innern der Mundöffnung versteckt. Zum Fressen werden sie vorgestreckt </w:t>
      </w:r>
      <w:r w:rsidR="00E301D1">
        <w:rPr>
          <w:rFonts w:ascii="Calibri" w:hAnsi="Calibri" w:cs="Calibri"/>
        </w:rPr>
        <w:br/>
      </w:r>
      <w:r w:rsidR="00717790">
        <w:rPr>
          <w:rFonts w:ascii="Calibri" w:hAnsi="Calibri" w:cs="Calibri"/>
        </w:rPr>
        <w:t>(s. Abbildung</w:t>
      </w:r>
      <w:r w:rsidR="00E301D1">
        <w:rPr>
          <w:rFonts w:ascii="Calibri" w:hAnsi="Calibri" w:cs="Calibri"/>
        </w:rPr>
        <w:t xml:space="preserve"> 2</w:t>
      </w:r>
      <w:r w:rsidR="00717790">
        <w:rPr>
          <w:rFonts w:ascii="Calibri" w:hAnsi="Calibri" w:cs="Calibri"/>
        </w:rPr>
        <w:t xml:space="preserve">). </w:t>
      </w:r>
    </w:p>
    <w:p w:rsidR="00717790" w:rsidRDefault="00717790" w:rsidP="00E301D1">
      <w:pPr>
        <w:spacing w:before="140"/>
        <w:jc w:val="center"/>
        <w:rPr>
          <w:rFonts w:ascii="Calibri" w:hAnsi="Calibri" w:cs="Calibri"/>
        </w:rPr>
      </w:pPr>
      <w:r>
        <w:rPr>
          <w:rFonts w:ascii="Calibri" w:hAnsi="Calibri" w:cs="Calibri"/>
          <w:noProof/>
        </w:rPr>
        <w:drawing>
          <wp:inline distT="0" distB="0" distL="0" distR="0">
            <wp:extent cx="3136727" cy="2810257"/>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gurke_Mundtentakel.jpg"/>
                    <pic:cNvPicPr/>
                  </pic:nvPicPr>
                  <pic:blipFill>
                    <a:blip r:embed="rId7">
                      <a:extLst>
                        <a:ext uri="{28A0092B-C50C-407E-A947-70E740481C1C}">
                          <a14:useLocalDpi xmlns:a14="http://schemas.microsoft.com/office/drawing/2010/main" val="0"/>
                        </a:ext>
                      </a:extLst>
                    </a:blip>
                    <a:stretch>
                      <a:fillRect/>
                    </a:stretch>
                  </pic:blipFill>
                  <pic:spPr>
                    <a:xfrm>
                      <a:off x="0" y="0"/>
                      <a:ext cx="3146181" cy="2818727"/>
                    </a:xfrm>
                    <a:prstGeom prst="rect">
                      <a:avLst/>
                    </a:prstGeom>
                  </pic:spPr>
                </pic:pic>
              </a:graphicData>
            </a:graphic>
          </wp:inline>
        </w:drawing>
      </w:r>
    </w:p>
    <w:p w:rsidR="00717790" w:rsidRPr="00717790" w:rsidRDefault="00717790" w:rsidP="00E301D1">
      <w:pPr>
        <w:jc w:val="center"/>
        <w:rPr>
          <w:rFonts w:ascii="Calibri" w:hAnsi="Calibri" w:cs="Calibri"/>
          <w:sz w:val="20"/>
          <w:szCs w:val="20"/>
        </w:rPr>
      </w:pPr>
      <w:r w:rsidRPr="00717790">
        <w:rPr>
          <w:rFonts w:ascii="Calibri" w:hAnsi="Calibri" w:cs="Calibri"/>
          <w:sz w:val="20"/>
          <w:szCs w:val="20"/>
        </w:rPr>
        <w:t>Abb. 2: Vorderende einer Röhrenseegurke mit vorgestülpten Mundtentakeln</w:t>
      </w:r>
    </w:p>
    <w:p w:rsidR="00C312C0" w:rsidRDefault="008117C4" w:rsidP="00E301D1">
      <w:pPr>
        <w:spacing w:before="140"/>
        <w:jc w:val="both"/>
        <w:rPr>
          <w:rFonts w:ascii="Calibri" w:hAnsi="Calibri" w:cs="Calibri"/>
        </w:rPr>
      </w:pPr>
      <w:r>
        <w:rPr>
          <w:rFonts w:ascii="Calibri" w:hAnsi="Calibri" w:cs="Calibri"/>
        </w:rPr>
        <w:t>Die</w:t>
      </w:r>
      <w:r w:rsidR="00E301D1">
        <w:rPr>
          <w:rFonts w:ascii="Calibri" w:hAnsi="Calibri" w:cs="Calibri"/>
        </w:rPr>
        <w:t>se</w:t>
      </w:r>
      <w:r>
        <w:rPr>
          <w:rFonts w:ascii="Calibri" w:hAnsi="Calibri" w:cs="Calibri"/>
        </w:rPr>
        <w:t xml:space="preserve"> Mundtentakel sind am Ende durch lappenartige Strukturen verbreitert</w:t>
      </w:r>
      <w:r w:rsidR="00B94242">
        <w:rPr>
          <w:rFonts w:ascii="Calibri" w:hAnsi="Calibri" w:cs="Calibri"/>
        </w:rPr>
        <w:t xml:space="preserve">. </w:t>
      </w:r>
      <w:r>
        <w:rPr>
          <w:rFonts w:ascii="Calibri" w:hAnsi="Calibri" w:cs="Calibri"/>
        </w:rPr>
        <w:t>Mit diesen Lappen tupfen die Tiere die Sandkörner auf und führen sie in</w:t>
      </w:r>
      <w:r w:rsidR="00E301D1">
        <w:rPr>
          <w:rFonts w:ascii="Calibri" w:hAnsi="Calibri" w:cs="Calibri"/>
        </w:rPr>
        <w:t xml:space="preserve"> </w:t>
      </w:r>
      <w:r>
        <w:rPr>
          <w:rFonts w:ascii="Calibri" w:hAnsi="Calibri" w:cs="Calibri"/>
        </w:rPr>
        <w:t>den Mund. Die Sandfrac</w:t>
      </w:r>
      <w:r w:rsidR="00922189">
        <w:rPr>
          <w:rFonts w:ascii="Calibri" w:hAnsi="Calibri" w:cs="Calibri"/>
        </w:rPr>
        <w:t xml:space="preserve">ht passiert den Verdauungstrakt, wird unterwegs von einer dünnen Membran umhüllt </w:t>
      </w:r>
      <w:r>
        <w:rPr>
          <w:rFonts w:ascii="Calibri" w:hAnsi="Calibri" w:cs="Calibri"/>
        </w:rPr>
        <w:t>und gelangt</w:t>
      </w:r>
      <w:r w:rsidR="00922189">
        <w:rPr>
          <w:rFonts w:ascii="Calibri" w:hAnsi="Calibri" w:cs="Calibri"/>
        </w:rPr>
        <w:t xml:space="preserve"> über den After wieder ins Freie. </w:t>
      </w:r>
    </w:p>
    <w:p w:rsidR="00581BD1" w:rsidRDefault="008117C4" w:rsidP="00E301D1">
      <w:pPr>
        <w:spacing w:before="140"/>
        <w:jc w:val="both"/>
        <w:rPr>
          <w:rFonts w:ascii="Calibri" w:hAnsi="Calibri" w:cs="Calibri"/>
        </w:rPr>
      </w:pPr>
      <w:r>
        <w:rPr>
          <w:rFonts w:ascii="Calibri" w:hAnsi="Calibri" w:cs="Calibri"/>
        </w:rPr>
        <w:t xml:space="preserve">Und wovon leben die Tiere? Von Sand </w:t>
      </w:r>
      <w:r w:rsidR="00922189">
        <w:rPr>
          <w:rFonts w:ascii="Calibri" w:hAnsi="Calibri" w:cs="Calibri"/>
        </w:rPr>
        <w:t xml:space="preserve">können sie </w:t>
      </w:r>
      <w:r>
        <w:rPr>
          <w:rFonts w:ascii="Calibri" w:hAnsi="Calibri" w:cs="Calibri"/>
        </w:rPr>
        <w:t>auf jeden Fall nicht</w:t>
      </w:r>
      <w:r w:rsidR="00922189">
        <w:rPr>
          <w:rFonts w:ascii="Calibri" w:hAnsi="Calibri" w:cs="Calibri"/>
        </w:rPr>
        <w:t xml:space="preserve"> leben</w:t>
      </w:r>
      <w:r w:rsidR="00E301D1">
        <w:rPr>
          <w:rFonts w:ascii="Calibri" w:hAnsi="Calibri" w:cs="Calibri"/>
        </w:rPr>
        <w:t>,</w:t>
      </w:r>
      <w:r w:rsidR="00922189">
        <w:rPr>
          <w:rFonts w:ascii="Calibri" w:hAnsi="Calibri" w:cs="Calibri"/>
        </w:rPr>
        <w:t xml:space="preserve"> sie benötigen energiereiche organische Substanzen</w:t>
      </w:r>
      <w:r>
        <w:rPr>
          <w:rFonts w:ascii="Calibri" w:hAnsi="Calibri" w:cs="Calibri"/>
        </w:rPr>
        <w:t xml:space="preserve">. </w:t>
      </w:r>
      <w:r w:rsidR="00922189">
        <w:rPr>
          <w:rFonts w:ascii="Calibri" w:hAnsi="Calibri" w:cs="Calibri"/>
        </w:rPr>
        <w:t>Eine mikroskopische Untersuchung bringt die Lösung: Die Sandkörner und die Sandlücken sind von einer Vielzahl mikroskopisch kleiner Organismen besiedelt. Ang</w:t>
      </w:r>
      <w:r w:rsidR="008C530B">
        <w:rPr>
          <w:rFonts w:ascii="Calibri" w:hAnsi="Calibri" w:cs="Calibri"/>
        </w:rPr>
        <w:t xml:space="preserve">efangen von kleinen Einzellern </w:t>
      </w:r>
      <w:r w:rsidR="00922189">
        <w:rPr>
          <w:rFonts w:ascii="Calibri" w:hAnsi="Calibri" w:cs="Calibri"/>
        </w:rPr>
        <w:t xml:space="preserve">über wurmartige Kleinorganismen bis hin zu räuberischen krebsartigen Tieren findet man alles in der Sandlückenfauna. </w:t>
      </w:r>
      <w:r w:rsidR="006232B9">
        <w:rPr>
          <w:rFonts w:ascii="Calibri" w:hAnsi="Calibri" w:cs="Calibri"/>
        </w:rPr>
        <w:t xml:space="preserve">Der Tisch ist also reich gedeckt für die Seegurken. </w:t>
      </w:r>
    </w:p>
    <w:p w:rsidR="008C530B" w:rsidRPr="00753C9A" w:rsidRDefault="008C530B" w:rsidP="00E301D1">
      <w:pPr>
        <w:spacing w:before="140"/>
        <w:jc w:val="both"/>
        <w:rPr>
          <w:rFonts w:ascii="Calibri" w:hAnsi="Calibri" w:cs="Calibri"/>
        </w:rPr>
      </w:pPr>
      <w:r>
        <w:rPr>
          <w:rFonts w:ascii="Calibri" w:hAnsi="Calibri" w:cs="Calibri"/>
        </w:rPr>
        <w:t xml:space="preserve">Und wovon lebt die Sandlückenfauna? Ein Ökosystem ohne pflanzliche Primärproduzenten kann doch eigentlich nicht existieren. Doch es geht, wenn nicht die Sonne die Energiequelle ist, sondern totes organisches Material. Dieses rieselt aus der Wassersäule </w:t>
      </w:r>
      <w:r w:rsidR="008D579C">
        <w:rPr>
          <w:rFonts w:ascii="Calibri" w:hAnsi="Calibri" w:cs="Calibri"/>
        </w:rPr>
        <w:t xml:space="preserve">(z.B. abgestorbene Planktonorganismen) ständig auf den Sand herab und bildet die Basis für ein ganzes Miniatur-Ökosystem, die Sandlückenfauna. </w:t>
      </w:r>
      <w:bookmarkStart w:id="0" w:name="_GoBack"/>
      <w:bookmarkEnd w:id="0"/>
    </w:p>
    <w:sectPr w:rsidR="008C530B" w:rsidRPr="00753C9A" w:rsidSect="00FB5286">
      <w:headerReference w:type="default" r:id="rId8"/>
      <w:footerReference w:type="default" r:id="rId9"/>
      <w:pgSz w:w="16840" w:h="11900" w:orient="landscape"/>
      <w:pgMar w:top="567" w:right="567" w:bottom="567" w:left="567" w:header="454" w:footer="567" w:gutter="0"/>
      <w:pgBorders w:offsetFrom="page">
        <w:top w:val="dashSmallGap" w:sz="4" w:space="24" w:color="D9D9D9" w:themeColor="background1" w:themeShade="D9"/>
        <w:left w:val="dashSmallGap" w:sz="4" w:space="24" w:color="D9D9D9" w:themeColor="background1" w:themeShade="D9"/>
        <w:bottom w:val="dashSmallGap" w:sz="4" w:space="24" w:color="D9D9D9" w:themeColor="background1" w:themeShade="D9"/>
        <w:right w:val="dashSmallGap" w:sz="4" w:space="24" w:color="D9D9D9" w:themeColor="background1" w:themeShade="D9"/>
      </w:pgBorders>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B11" w:rsidRDefault="00FB4B11" w:rsidP="00ED5701">
      <w:r>
        <w:separator/>
      </w:r>
    </w:p>
  </w:endnote>
  <w:endnote w:type="continuationSeparator" w:id="0">
    <w:p w:rsidR="00FB4B11" w:rsidRDefault="00FB4B11" w:rsidP="00ED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01" w:rsidRPr="00FB5286" w:rsidRDefault="00FB5286" w:rsidP="00166201">
    <w:pPr>
      <w:pStyle w:val="Fuzeile"/>
      <w:pBdr>
        <w:top w:val="single" w:sz="4" w:space="1" w:color="BFBFBF" w:themeColor="background1" w:themeShade="BF"/>
      </w:pBdr>
      <w:tabs>
        <w:tab w:val="right" w:pos="15593"/>
      </w:tabs>
      <w:rPr>
        <w:rFonts w:ascii="Times New Roman" w:hAnsi="Times New Roman" w:cs="Times New Roman"/>
        <w:color w:val="BFBFBF" w:themeColor="background1" w:themeShade="BF"/>
        <w:sz w:val="20"/>
        <w:szCs w:val="20"/>
      </w:rPr>
    </w:pPr>
    <w:r w:rsidRPr="00FB5286">
      <w:rPr>
        <w:rFonts w:ascii="Times New Roman" w:hAnsi="Times New Roman" w:cs="Times New Roman"/>
        <w:color w:val="BFBFBF" w:themeColor="background1" w:themeShade="BF"/>
        <w:sz w:val="20"/>
        <w:szCs w:val="20"/>
      </w:rPr>
      <w:t>Landesbildungsserver Baden-Württemberg</w:t>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r>
    <w:r w:rsidRPr="00FB5286">
      <w:rPr>
        <w:rFonts w:ascii="Times New Roman" w:hAnsi="Times New Roman" w:cs="Times New Roman"/>
        <w:color w:val="BFBFBF" w:themeColor="background1" w:themeShade="BF"/>
        <w:sz w:val="20"/>
        <w:szCs w:val="20"/>
      </w:rPr>
      <w:tab/>
      <w:t xml:space="preserve">Redaktion Biologie: H. Götz, S. </w:t>
    </w:r>
    <w:proofErr w:type="spellStart"/>
    <w:r w:rsidRPr="00FB5286">
      <w:rPr>
        <w:rFonts w:ascii="Times New Roman" w:hAnsi="Times New Roman" w:cs="Times New Roman"/>
        <w:color w:val="BFBFBF" w:themeColor="background1" w:themeShade="BF"/>
        <w:sz w:val="20"/>
        <w:szCs w:val="20"/>
      </w:rPr>
      <w:t>Gemballa</w:t>
    </w:r>
    <w:proofErr w:type="spellEnd"/>
    <w:r w:rsidRPr="00FB5286">
      <w:rPr>
        <w:rFonts w:ascii="Times New Roman" w:hAnsi="Times New Roman" w:cs="Times New Roman"/>
        <w:color w:val="BFBFBF" w:themeColor="background1" w:themeShade="BF"/>
        <w:sz w:val="20"/>
        <w:szCs w:val="20"/>
      </w:rPr>
      <w: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B11" w:rsidRDefault="00FB4B11" w:rsidP="00ED5701">
      <w:r>
        <w:separator/>
      </w:r>
    </w:p>
  </w:footnote>
  <w:footnote w:type="continuationSeparator" w:id="0">
    <w:p w:rsidR="00FB4B11" w:rsidRDefault="00FB4B11" w:rsidP="00ED5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701" w:rsidRPr="00ED5701" w:rsidRDefault="00ED5701" w:rsidP="00ED5701">
    <w:pPr>
      <w:pStyle w:val="Kopfzeile"/>
      <w:tabs>
        <w:tab w:val="clear" w:pos="4536"/>
        <w:tab w:val="clear" w:pos="9072"/>
        <w:tab w:val="center" w:pos="7853"/>
      </w:tabs>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01"/>
    <w:rsid w:val="00061A63"/>
    <w:rsid w:val="00072FC9"/>
    <w:rsid w:val="000757C8"/>
    <w:rsid w:val="00085361"/>
    <w:rsid w:val="000855BD"/>
    <w:rsid w:val="0009008F"/>
    <w:rsid w:val="00091B3C"/>
    <w:rsid w:val="000B20A4"/>
    <w:rsid w:val="000D5D35"/>
    <w:rsid w:val="00132AFD"/>
    <w:rsid w:val="001607A9"/>
    <w:rsid w:val="00166201"/>
    <w:rsid w:val="001C4C66"/>
    <w:rsid w:val="001F4422"/>
    <w:rsid w:val="002114CE"/>
    <w:rsid w:val="002117E8"/>
    <w:rsid w:val="00215A7C"/>
    <w:rsid w:val="00235870"/>
    <w:rsid w:val="00266109"/>
    <w:rsid w:val="0028268B"/>
    <w:rsid w:val="0029122D"/>
    <w:rsid w:val="0029277B"/>
    <w:rsid w:val="002972E0"/>
    <w:rsid w:val="002A5789"/>
    <w:rsid w:val="002D411F"/>
    <w:rsid w:val="00301001"/>
    <w:rsid w:val="00340155"/>
    <w:rsid w:val="00345F42"/>
    <w:rsid w:val="0037315D"/>
    <w:rsid w:val="0039050A"/>
    <w:rsid w:val="003956C7"/>
    <w:rsid w:val="003A42D0"/>
    <w:rsid w:val="003B4138"/>
    <w:rsid w:val="003B7466"/>
    <w:rsid w:val="003B77B8"/>
    <w:rsid w:val="003D2CCA"/>
    <w:rsid w:val="00406C65"/>
    <w:rsid w:val="00462D07"/>
    <w:rsid w:val="004A52B3"/>
    <w:rsid w:val="004D4464"/>
    <w:rsid w:val="004E6883"/>
    <w:rsid w:val="004E6951"/>
    <w:rsid w:val="005039C8"/>
    <w:rsid w:val="0053565C"/>
    <w:rsid w:val="005507BA"/>
    <w:rsid w:val="00576BEE"/>
    <w:rsid w:val="00581BD1"/>
    <w:rsid w:val="00591C51"/>
    <w:rsid w:val="005B48B1"/>
    <w:rsid w:val="005C1455"/>
    <w:rsid w:val="005C4851"/>
    <w:rsid w:val="00612EE6"/>
    <w:rsid w:val="006232B9"/>
    <w:rsid w:val="006245E1"/>
    <w:rsid w:val="00633611"/>
    <w:rsid w:val="00652F34"/>
    <w:rsid w:val="006531EB"/>
    <w:rsid w:val="006671F4"/>
    <w:rsid w:val="00683D0F"/>
    <w:rsid w:val="006E0E78"/>
    <w:rsid w:val="006E118E"/>
    <w:rsid w:val="00717790"/>
    <w:rsid w:val="007201E9"/>
    <w:rsid w:val="00736BE5"/>
    <w:rsid w:val="007406E2"/>
    <w:rsid w:val="00751686"/>
    <w:rsid w:val="00753C9A"/>
    <w:rsid w:val="007A385D"/>
    <w:rsid w:val="007B01D7"/>
    <w:rsid w:val="007D7628"/>
    <w:rsid w:val="008117C4"/>
    <w:rsid w:val="00822F10"/>
    <w:rsid w:val="0083211C"/>
    <w:rsid w:val="008345E8"/>
    <w:rsid w:val="00853D98"/>
    <w:rsid w:val="008547D0"/>
    <w:rsid w:val="00872727"/>
    <w:rsid w:val="008830AB"/>
    <w:rsid w:val="0088524C"/>
    <w:rsid w:val="008B4BBE"/>
    <w:rsid w:val="008C530B"/>
    <w:rsid w:val="008D579C"/>
    <w:rsid w:val="009120DB"/>
    <w:rsid w:val="00922189"/>
    <w:rsid w:val="00956022"/>
    <w:rsid w:val="009762BD"/>
    <w:rsid w:val="00980CB6"/>
    <w:rsid w:val="00980E13"/>
    <w:rsid w:val="0099197E"/>
    <w:rsid w:val="009F784E"/>
    <w:rsid w:val="00A043E1"/>
    <w:rsid w:val="00A1638C"/>
    <w:rsid w:val="00A55509"/>
    <w:rsid w:val="00A573CD"/>
    <w:rsid w:val="00A93EE3"/>
    <w:rsid w:val="00AA6A1E"/>
    <w:rsid w:val="00AB6EB5"/>
    <w:rsid w:val="00AE4E1B"/>
    <w:rsid w:val="00B64996"/>
    <w:rsid w:val="00B73127"/>
    <w:rsid w:val="00B94242"/>
    <w:rsid w:val="00BE3246"/>
    <w:rsid w:val="00C259CE"/>
    <w:rsid w:val="00C312C0"/>
    <w:rsid w:val="00C374EE"/>
    <w:rsid w:val="00C37B71"/>
    <w:rsid w:val="00C87A6B"/>
    <w:rsid w:val="00CC7117"/>
    <w:rsid w:val="00CD47DC"/>
    <w:rsid w:val="00D55432"/>
    <w:rsid w:val="00D776BB"/>
    <w:rsid w:val="00DB0039"/>
    <w:rsid w:val="00DB0A20"/>
    <w:rsid w:val="00DB5B5B"/>
    <w:rsid w:val="00DC25C1"/>
    <w:rsid w:val="00DF6184"/>
    <w:rsid w:val="00E07808"/>
    <w:rsid w:val="00E301D1"/>
    <w:rsid w:val="00E93F5C"/>
    <w:rsid w:val="00EA4605"/>
    <w:rsid w:val="00EB4D21"/>
    <w:rsid w:val="00EB6D48"/>
    <w:rsid w:val="00ED5701"/>
    <w:rsid w:val="00ED5951"/>
    <w:rsid w:val="00EF6E17"/>
    <w:rsid w:val="00F07A7E"/>
    <w:rsid w:val="00F42F5E"/>
    <w:rsid w:val="00F6652D"/>
    <w:rsid w:val="00F876D0"/>
    <w:rsid w:val="00F93258"/>
    <w:rsid w:val="00FA2EF1"/>
    <w:rsid w:val="00FB4B11"/>
    <w:rsid w:val="00FB5286"/>
    <w:rsid w:val="00FC7CC5"/>
    <w:rsid w:val="00FD5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B1A1"/>
  <w14:defaultImageDpi w14:val="32767"/>
  <w15:chartTrackingRefBased/>
  <w15:docId w15:val="{4F0509E0-A8E4-C24D-AF1A-C13B72703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5701"/>
    <w:pPr>
      <w:tabs>
        <w:tab w:val="center" w:pos="4536"/>
        <w:tab w:val="right" w:pos="9072"/>
      </w:tabs>
    </w:pPr>
  </w:style>
  <w:style w:type="character" w:customStyle="1" w:styleId="KopfzeileZchn">
    <w:name w:val="Kopfzeile Zchn"/>
    <w:basedOn w:val="Absatz-Standardschriftart"/>
    <w:link w:val="Kopfzeile"/>
    <w:uiPriority w:val="99"/>
    <w:rsid w:val="00ED5701"/>
  </w:style>
  <w:style w:type="paragraph" w:styleId="Fuzeile">
    <w:name w:val="footer"/>
    <w:basedOn w:val="Standard"/>
    <w:link w:val="FuzeileZchn"/>
    <w:uiPriority w:val="99"/>
    <w:unhideWhenUsed/>
    <w:rsid w:val="00ED5701"/>
    <w:pPr>
      <w:tabs>
        <w:tab w:val="center" w:pos="4536"/>
        <w:tab w:val="right" w:pos="9072"/>
      </w:tabs>
    </w:pPr>
  </w:style>
  <w:style w:type="character" w:customStyle="1" w:styleId="FuzeileZchn">
    <w:name w:val="Fußzeile Zchn"/>
    <w:basedOn w:val="Absatz-Standardschriftart"/>
    <w:link w:val="Fuzeile"/>
    <w:uiPriority w:val="99"/>
    <w:rsid w:val="00ED5701"/>
  </w:style>
  <w:style w:type="paragraph" w:styleId="Listenabsatz">
    <w:name w:val="List Paragraph"/>
    <w:basedOn w:val="Standard"/>
    <w:uiPriority w:val="34"/>
    <w:qFormat/>
    <w:rsid w:val="0009008F"/>
    <w:pPr>
      <w:ind w:left="720"/>
      <w:contextualSpacing/>
    </w:pPr>
  </w:style>
  <w:style w:type="table" w:styleId="Tabellenraster">
    <w:name w:val="Table Grid"/>
    <w:basedOn w:val="NormaleTabelle"/>
    <w:uiPriority w:val="39"/>
    <w:rsid w:val="00991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Götz</dc:creator>
  <cp:keywords/>
  <dc:description/>
  <cp:lastModifiedBy>Heiner Götz</cp:lastModifiedBy>
  <cp:revision>37</cp:revision>
  <dcterms:created xsi:type="dcterms:W3CDTF">2018-04-24T19:35:00Z</dcterms:created>
  <dcterms:modified xsi:type="dcterms:W3CDTF">2018-10-25T12:56:00Z</dcterms:modified>
</cp:coreProperties>
</file>