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20" w:rsidRPr="009C2720" w:rsidRDefault="009C2720" w:rsidP="009C2720">
      <w:pPr>
        <w:pStyle w:val="LSStandardtext"/>
        <w:rPr>
          <w:b/>
        </w:rPr>
      </w:pPr>
      <w:r w:rsidRPr="009C2720">
        <w:rPr>
          <w:b/>
        </w:rPr>
        <w:t xml:space="preserve">Tafelanschrieb </w:t>
      </w:r>
    </w:p>
    <w:p w:rsidR="009C2720" w:rsidRPr="009C2720" w:rsidRDefault="009C2720" w:rsidP="009C2720">
      <w:pPr>
        <w:pStyle w:val="LSStandardtext"/>
        <w:jc w:val="center"/>
        <w:rPr>
          <w:u w:val="single"/>
        </w:rPr>
      </w:pPr>
      <w:r w:rsidRPr="009C2720">
        <w:rPr>
          <w:rFonts w:eastAsia="OpenSymbol"/>
          <w:u w:val="single"/>
          <w:lang w:eastAsia="ar-SA"/>
        </w:rPr>
        <w:t>Beweisführung</w:t>
      </w:r>
    </w:p>
    <w:p w:rsidR="009C2720" w:rsidRPr="009C2720" w:rsidRDefault="009C2720" w:rsidP="009C2720">
      <w:pPr>
        <w:pStyle w:val="LSStandardtext"/>
        <w:rPr>
          <w:b/>
          <w:bCs/>
        </w:rPr>
      </w:pPr>
      <w:r w:rsidRPr="009C2720">
        <w:rPr>
          <w:rFonts w:eastAsia="OpenSymbol"/>
          <w:b/>
          <w:bCs/>
        </w:rPr>
        <w:t>Behauptung</w:t>
      </w:r>
    </w:p>
    <w:p w:rsidR="009C2720" w:rsidRPr="009C2720" w:rsidRDefault="0008140D" w:rsidP="009C2720">
      <w:pPr>
        <w:pStyle w:val="LSStandardtext"/>
        <w:rPr>
          <w:rFonts w:ascii="Calibri" w:hAnsi="Calibri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 w:rsidR="009C2720" w:rsidRPr="009C2720">
        <w:rPr>
          <w:rFonts w:ascii="Calibri" w:hAnsi="Calibri"/>
        </w:rPr>
        <w:t xml:space="preserve"> </w:t>
      </w:r>
      <w:r w:rsidR="009C2720" w:rsidRPr="009C2720">
        <w:t>ist eine irrationale Zahl</w:t>
      </w:r>
      <w:r w:rsidR="009C2720" w:rsidRPr="009C2720">
        <w:rPr>
          <w:rFonts w:ascii="Calibri" w:hAnsi="Calibri"/>
        </w:rPr>
        <w:t>.</w:t>
      </w:r>
    </w:p>
    <w:p w:rsidR="009C2720" w:rsidRPr="009C2720" w:rsidRDefault="009C2720" w:rsidP="009C2720">
      <w:pPr>
        <w:pStyle w:val="LSStandardtext"/>
      </w:pPr>
      <w:r w:rsidRPr="009C2720">
        <w:rPr>
          <w:rFonts w:eastAsia="OpenSymbol"/>
        </w:rPr>
        <w:t>Beweis</w:t>
      </w:r>
      <w:r w:rsidRPr="009C2720">
        <w:rPr>
          <w:rFonts w:eastAsia="OpenSymbol"/>
        </w:rPr>
        <w:tab/>
      </w:r>
    </w:p>
    <w:p w:rsidR="009C2720" w:rsidRPr="009C2720" w:rsidRDefault="009C2720" w:rsidP="009C2720">
      <w:pPr>
        <w:pStyle w:val="LSStandardtext"/>
        <w:rPr>
          <w:i/>
        </w:rPr>
      </w:pPr>
      <w:r w:rsidRPr="009C2720">
        <w:rPr>
          <w:i/>
        </w:rPr>
        <w:t>Die Beweisführung erfolgt indirekt nach der Methode des Widerspruchsbeweises (indirekter Beweis), das heißt, es wird gezeigt, dass die Annahme, die Wurzel aus 2 sei eine rationale Zahl, zu einem Widerspruch führt (lateinisch: reductio ad absurdum).</w:t>
      </w:r>
    </w:p>
    <w:p w:rsidR="009C2720" w:rsidRPr="009C2720" w:rsidRDefault="009C2720" w:rsidP="009C2720">
      <w:pPr>
        <w:pStyle w:val="LSStandardtext"/>
        <w:rPr>
          <w:b/>
          <w:bCs/>
        </w:rPr>
      </w:pPr>
      <w:r w:rsidRPr="009C2720">
        <w:rPr>
          <w:b/>
          <w:bCs/>
        </w:rPr>
        <w:t xml:space="preserve">Indirekter Beweis: </w:t>
      </w:r>
    </w:p>
    <w:p w:rsidR="009C2720" w:rsidRPr="009C2720" w:rsidRDefault="009C2720" w:rsidP="009C2720">
      <w:pPr>
        <w:pStyle w:val="LSStandardtext"/>
      </w:pPr>
      <w:r w:rsidRPr="009C2720">
        <w:t xml:space="preserve">Wir nehmen an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9C2720">
        <w:t xml:space="preserve">ist rational, d.h. lässt sich als Bruch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p</m:t>
            </m:r>
          </m:num>
          <m:den>
            <m:r>
              <w:rPr>
                <w:rFonts w:ascii="Cambria Math" w:hAnsi="Cambria Math"/>
              </w:rPr>
              <m:t>q</m:t>
            </m:r>
          </m:den>
        </m:f>
      </m:oMath>
      <w:r w:rsidRPr="009C2720">
        <w:t xml:space="preserve"> darstellen. Wir nehmen auch an, dass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p</m:t>
            </m:r>
          </m:num>
          <m:den>
            <m:r>
              <w:rPr>
                <w:rFonts w:ascii="Cambria Math" w:hAnsi="Cambria Math"/>
              </w:rPr>
              <m:t>q</m:t>
            </m:r>
          </m:den>
        </m:f>
      </m:oMath>
      <w:r w:rsidRPr="009C2720">
        <w:t xml:space="preserve"> in gekürzter Form vorliegt, so dass </w:t>
      </w:r>
      <m:oMath>
        <m:r>
          <w:rPr>
            <w:rFonts w:ascii="Cambria Math" w:hAnsi="Cambria Math"/>
          </w:rPr>
          <m:t>p</m:t>
        </m:r>
      </m:oMath>
      <w:r w:rsidRPr="009C2720">
        <w:t xml:space="preserve"> und </w:t>
      </w:r>
      <m:oMath>
        <m:r>
          <w:rPr>
            <w:rFonts w:ascii="Cambria Math" w:hAnsi="Cambria Math"/>
          </w:rPr>
          <m:t>q</m:t>
        </m:r>
      </m:oMath>
      <w:r w:rsidRPr="009C2720">
        <w:t xml:space="preserve"> teilerfremde ganze Zahlen sind, d.h. sie haben keinen gemeinsamen Teiler. </w:t>
      </w:r>
    </w:p>
    <w:p w:rsidR="009C2720" w:rsidRPr="009C2720" w:rsidRDefault="0008140D" w:rsidP="009C2720">
      <w:pPr>
        <w:spacing w:line="320" w:lineRule="atLeast"/>
        <w:jc w:val="both"/>
        <w:rPr>
          <w:rFonts w:ascii="Cambria Math" w:hAnsi="Cambria Math"/>
          <w:i/>
          <w:iCs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iCs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p</m:t>
            </m:r>
          </m:num>
          <m:den>
            <m:r>
              <w:rPr>
                <w:rFonts w:ascii="Cambria Math" w:hAnsi="Cambria Math"/>
              </w:rPr>
              <m:t>q</m:t>
            </m:r>
          </m:den>
        </m:f>
        <m:r>
          <w:rPr>
            <w:rFonts w:ascii="Cambria Math" w:hAnsi="Cambria Math"/>
          </w:rPr>
          <m:t xml:space="preserve"> ⟺ 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q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</m:t>
        </m:r>
      </m:oMath>
      <w:r w:rsidR="009C2720" w:rsidRPr="009C2720">
        <w:rPr>
          <w:rFonts w:ascii="Cambria Math" w:hAnsi="Cambria Math"/>
          <w:i/>
          <w:iCs/>
        </w:rPr>
        <w:t xml:space="preserve"> </w:t>
      </w:r>
    </w:p>
    <w:p w:rsidR="009C2720" w:rsidRPr="009C2720" w:rsidRDefault="0008140D" w:rsidP="009C2720">
      <w:pPr>
        <w:spacing w:line="320" w:lineRule="atLeast"/>
        <w:jc w:val="both"/>
        <w:rPr>
          <w:rFonts w:ascii="Calibri" w:hAnsi="Calibri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²</m:t>
            </m:r>
          </m:num>
          <m:den>
            <m:r>
              <w:rPr>
                <w:rFonts w:ascii="Cambria Math" w:hAnsi="Cambria Math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</w:rPr>
              <m:t>²</m:t>
            </m:r>
          </m:den>
        </m:f>
        <m:r>
          <m:rPr>
            <m:sty m:val="p"/>
          </m:rPr>
          <w:rPr>
            <w:rFonts w:ascii="Cambria Math" w:hAnsi="Cambria Math"/>
          </w:rPr>
          <m:t>=2</m:t>
        </m:r>
      </m:oMath>
      <w:r w:rsidR="009C2720" w:rsidRPr="009C2720">
        <w:rPr>
          <w:rFonts w:ascii="Calibri" w:hAnsi="Calibri"/>
        </w:rPr>
        <w:t xml:space="preserve"> </w:t>
      </w:r>
    </w:p>
    <w:p w:rsidR="009C2720" w:rsidRPr="009C2720" w:rsidRDefault="0008140D" w:rsidP="009C2720">
      <w:pPr>
        <w:spacing w:line="320" w:lineRule="atLeast"/>
        <w:jc w:val="both"/>
        <w:rPr>
          <w:rFonts w:ascii="Calibri" w:hAnsi="Calibri"/>
          <w:szCs w:val="24"/>
        </w:rPr>
      </w:pPr>
      <m:oMath>
        <m:sSup>
          <m:sSupPr>
            <m:ctrlPr>
              <w:rPr>
                <w:rFonts w:ascii="Cambria Math" w:hAnsi="Cambria Math"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4"/>
          </w:rPr>
          <m:t>=2</m:t>
        </m:r>
        <m:r>
          <w:rPr>
            <w:rFonts w:ascii="Cambria Math" w:hAnsi="Cambria Math"/>
            <w:szCs w:val="24"/>
          </w:rPr>
          <m:t>q</m:t>
        </m:r>
        <m:r>
          <m:rPr>
            <m:sty m:val="p"/>
          </m:rPr>
          <w:rPr>
            <w:rFonts w:ascii="Cambria Math" w:hAnsi="Cambria Math"/>
            <w:szCs w:val="24"/>
          </w:rPr>
          <m:t>²</m:t>
        </m:r>
      </m:oMath>
      <w:r w:rsidR="009C2720" w:rsidRPr="009C2720">
        <w:rPr>
          <w:rFonts w:ascii="Calibri" w:hAnsi="Calibri"/>
          <w:szCs w:val="24"/>
        </w:rPr>
        <w:t>.</w:t>
      </w:r>
    </w:p>
    <w:p w:rsidR="009C2720" w:rsidRPr="009C2720" w:rsidRDefault="009C2720" w:rsidP="009C2720">
      <w:pPr>
        <w:spacing w:line="320" w:lineRule="atLeast"/>
        <w:jc w:val="both"/>
      </w:pPr>
      <m:oMath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 xml:space="preserve">² </m:t>
        </m:r>
      </m:oMath>
      <w:r w:rsidRPr="009C2720">
        <w:t xml:space="preserve">ist eine gerade Zahl, also ist auch </w:t>
      </w:r>
      <m:oMath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 xml:space="preserve">² </m:t>
        </m:r>
      </m:oMath>
      <w:r w:rsidRPr="009C2720">
        <w:t xml:space="preserve">gerade. Daraus folgt, dass auch die Zahl </w:t>
      </w:r>
      <m:oMath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9C2720">
        <w:t>gerade ist.</w:t>
      </w:r>
    </w:p>
    <w:p w:rsidR="009C2720" w:rsidRPr="009C2720" w:rsidRDefault="009C2720" w:rsidP="009C2720">
      <w:pPr>
        <w:spacing w:line="320" w:lineRule="atLeast"/>
        <w:jc w:val="both"/>
      </w:pPr>
      <w:r w:rsidRPr="009C2720">
        <w:t xml:space="preserve">Die Zahl </w:t>
      </w:r>
      <m:oMath>
        <m:r>
          <w:rPr>
            <w:rFonts w:ascii="Cambria Math" w:hAnsi="Cambria Math"/>
          </w:rPr>
          <m:t>p</m:t>
        </m:r>
      </m:oMath>
      <w:r w:rsidRPr="009C2720">
        <w:t xml:space="preserve"> lässt sich also darstellen durch:</w:t>
      </w:r>
    </w:p>
    <w:p w:rsidR="009C2720" w:rsidRPr="009C2720" w:rsidRDefault="009C2720" w:rsidP="009C2720">
      <w:pPr>
        <w:spacing w:line="320" w:lineRule="atLeast"/>
        <w:ind w:firstLine="708"/>
        <w:jc w:val="both"/>
      </w:pPr>
      <m:oMath>
        <m:r>
          <w:rPr>
            <w:rFonts w:ascii="Cambria Math" w:hAnsi="Cambria Math"/>
          </w:rPr>
          <m:t>p=2r</m:t>
        </m:r>
      </m:oMath>
      <w:r w:rsidRPr="009C2720">
        <w:t>, wobei r eine ganze Zahl ist.</w:t>
      </w:r>
    </w:p>
    <w:p w:rsidR="009C2720" w:rsidRPr="009C2720" w:rsidRDefault="009C2720" w:rsidP="009C2720">
      <w:pPr>
        <w:spacing w:line="320" w:lineRule="atLeast"/>
        <w:jc w:val="both"/>
      </w:pPr>
      <w:r w:rsidRPr="009C2720">
        <w:t>Damit erhält man mit obiger Gleichung:</w:t>
      </w:r>
    </w:p>
    <w:p w:rsidR="009C2720" w:rsidRPr="009C2720" w:rsidRDefault="009C2720" w:rsidP="009C2720">
      <w:pPr>
        <w:spacing w:line="320" w:lineRule="atLeast"/>
        <w:ind w:left="708" w:firstLine="708"/>
        <w:jc w:val="both"/>
        <w:rPr>
          <w:rFonts w:ascii="Cambria Math" w:hAnsi="Cambria Math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2</m:t>
          </m:r>
          <m:r>
            <w:rPr>
              <w:rFonts w:ascii="Cambria Math" w:hAnsi="Cambria Math"/>
            </w:rPr>
            <m:t>q</m:t>
          </m:r>
          <m:r>
            <m:rPr>
              <m:sty m:val="p"/>
            </m:rPr>
            <w:rPr>
              <w:rFonts w:ascii="Cambria Math" w:hAnsi="Cambria Math"/>
            </w:rPr>
            <m:t>²=</m:t>
          </m:r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²=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r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=4</m:t>
          </m:r>
          <m:r>
            <w:rPr>
              <w:rFonts w:ascii="Cambria Math" w:hAnsi="Cambria Math"/>
            </w:rPr>
            <m:t>r</m:t>
          </m:r>
          <m:r>
            <m:rPr>
              <m:sty m:val="p"/>
            </m:rPr>
            <w:rPr>
              <w:rFonts w:ascii="Cambria Math" w:hAnsi="Cambria Math"/>
            </w:rPr>
            <m:t>²</m:t>
          </m:r>
        </m:oMath>
      </m:oMathPara>
    </w:p>
    <w:p w:rsidR="009C2720" w:rsidRPr="009C2720" w:rsidRDefault="009C2720" w:rsidP="009C2720">
      <w:pPr>
        <w:spacing w:line="320" w:lineRule="atLeast"/>
        <w:jc w:val="both"/>
      </w:pPr>
      <w:r w:rsidRPr="009C2720">
        <w:t>und hieraus nach Division durch 2</w:t>
      </w:r>
    </w:p>
    <w:p w:rsidR="009C2720" w:rsidRPr="009C2720" w:rsidRDefault="009C2720" w:rsidP="009C2720">
      <w:pPr>
        <w:spacing w:line="320" w:lineRule="atLeast"/>
        <w:ind w:firstLine="708"/>
        <w:jc w:val="both"/>
      </w:pPr>
      <m:oMath>
        <m: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²=2</m:t>
        </m:r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²</m:t>
        </m:r>
      </m:oMath>
      <w:r w:rsidRPr="009C2720">
        <w:t>.</w:t>
      </w:r>
    </w:p>
    <w:p w:rsidR="009C2720" w:rsidRPr="009C2720" w:rsidRDefault="009C2720" w:rsidP="009C2720">
      <w:pPr>
        <w:spacing w:line="320" w:lineRule="atLeast"/>
        <w:jc w:val="both"/>
      </w:pPr>
      <w:r w:rsidRPr="009C2720">
        <w:t xml:space="preserve">Mit der gleichen Argumentation wie zuvor folgt, dass </w:t>
      </w:r>
      <m:oMath>
        <m:r>
          <w:rPr>
            <w:rFonts w:ascii="Cambria Math" w:hAnsi="Cambria Math"/>
          </w:rPr>
          <m:t xml:space="preserve">q² </m:t>
        </m:r>
      </m:oMath>
      <w:r w:rsidRPr="009C2720">
        <w:t xml:space="preserve">und damit auch </w:t>
      </w:r>
      <m:oMath>
        <m:r>
          <w:rPr>
            <w:rFonts w:ascii="Cambria Math" w:hAnsi="Cambria Math"/>
          </w:rPr>
          <m:t>q</m:t>
        </m:r>
      </m:oMath>
      <w:r w:rsidRPr="009C2720">
        <w:t xml:space="preserve"> eine gerade Zahl ist.</w:t>
      </w:r>
    </w:p>
    <w:p w:rsidR="009C2720" w:rsidRPr="009C2720" w:rsidRDefault="009C2720" w:rsidP="009C2720">
      <w:pPr>
        <w:spacing w:line="320" w:lineRule="atLeast"/>
        <w:jc w:val="both"/>
      </w:pPr>
      <w:r w:rsidRPr="009C2720">
        <w:t xml:space="preserve">Da </w:t>
      </w:r>
      <m:oMath>
        <m:r>
          <w:rPr>
            <w:rFonts w:ascii="Cambria Math" w:hAnsi="Cambria Math"/>
          </w:rPr>
          <m:t xml:space="preserve">p </m:t>
        </m:r>
      </m:oMath>
      <w:r w:rsidRPr="009C2720">
        <w:t xml:space="preserve">und </w:t>
      </w:r>
      <m:oMath>
        <m:r>
          <w:rPr>
            <w:rFonts w:ascii="Cambria Math" w:hAnsi="Cambria Math"/>
          </w:rPr>
          <m:t xml:space="preserve">q </m:t>
        </m:r>
      </m:oMath>
      <w:r w:rsidRPr="009C2720">
        <w:t>durch 2 teilbar sind, erhalten wir einen Widerspruch zur Teilerfremdheit.</w:t>
      </w:r>
    </w:p>
    <w:p w:rsidR="009C2720" w:rsidRPr="009C2720" w:rsidRDefault="009C2720" w:rsidP="009C2720">
      <w:pPr>
        <w:spacing w:line="320" w:lineRule="atLeast"/>
        <w:jc w:val="both"/>
      </w:pPr>
      <w:r w:rsidRPr="009C2720">
        <w:t xml:space="preserve">Dieser Widerspruch zeigt, dass die Annahme, die Wurzel aus 2 sei eine rationale Zahl, falsch ist und daher das Gegenteil gelten muss. Damit ist die Behauptung, dass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 w:rsidRPr="009C2720">
        <w:t xml:space="preserve"> irrational ist, bewiesen.</w:t>
      </w:r>
    </w:p>
    <w:p w:rsidR="009C2720" w:rsidRPr="009C2720" w:rsidRDefault="009C2720" w:rsidP="009C2720">
      <w:pPr>
        <w:numPr>
          <w:ilvl w:val="0"/>
          <w:numId w:val="17"/>
        </w:numPr>
        <w:tabs>
          <w:tab w:val="clear" w:pos="432"/>
        </w:tabs>
        <w:spacing w:after="40"/>
        <w:ind w:left="0" w:firstLine="0"/>
        <w:rPr>
          <w:bCs/>
          <w:sz w:val="24"/>
          <w:szCs w:val="24"/>
          <w:lang w:eastAsia="ar-SA"/>
        </w:rPr>
      </w:pPr>
    </w:p>
    <w:p w:rsidR="009C2720" w:rsidRPr="009C2720" w:rsidRDefault="009C2720" w:rsidP="009C2720">
      <w:pPr>
        <w:spacing w:line="320" w:lineRule="atLeast"/>
        <w:jc w:val="both"/>
        <w:rPr>
          <w:b/>
          <w:bCs/>
          <w:i/>
        </w:rPr>
      </w:pPr>
      <w:r w:rsidRPr="009C2720">
        <w:rPr>
          <w:b/>
          <w:bCs/>
          <w:i/>
        </w:rPr>
        <w:t xml:space="preserve">Bemerkung: </w:t>
      </w:r>
    </w:p>
    <w:p w:rsidR="009C2720" w:rsidRPr="009C2720" w:rsidRDefault="009C2720" w:rsidP="009C2720">
      <w:pPr>
        <w:spacing w:line="320" w:lineRule="atLeast"/>
        <w:jc w:val="both"/>
        <w:rPr>
          <w:i/>
          <w:sz w:val="20"/>
        </w:rPr>
      </w:pPr>
      <w:r w:rsidRPr="009C2720">
        <w:rPr>
          <w:i/>
          <w:sz w:val="20"/>
        </w:rPr>
        <w:t>√2 ist gerade die Länge der Diagonale des Einheitsquadrats (nach dem Satz von Pythagoras: 1</w:t>
      </w:r>
      <w:r w:rsidRPr="009C2720">
        <w:rPr>
          <w:i/>
          <w:sz w:val="20"/>
          <w:vertAlign w:val="superscript"/>
        </w:rPr>
        <w:t>2</w:t>
      </w:r>
      <w:r w:rsidRPr="009C2720">
        <w:rPr>
          <w:i/>
          <w:sz w:val="20"/>
        </w:rPr>
        <w:t xml:space="preserve"> + 1</w:t>
      </w:r>
      <w:r w:rsidRPr="009C2720">
        <w:rPr>
          <w:i/>
          <w:sz w:val="20"/>
          <w:vertAlign w:val="superscript"/>
        </w:rPr>
        <w:t>2</w:t>
      </w:r>
      <w:r w:rsidRPr="009C2720">
        <w:rPr>
          <w:i/>
          <w:sz w:val="20"/>
        </w:rPr>
        <w:t xml:space="preserve"> = Diagonale</w:t>
      </w:r>
      <w:r w:rsidRPr="009C2720">
        <w:rPr>
          <w:i/>
          <w:sz w:val="20"/>
          <w:vertAlign w:val="superscript"/>
        </w:rPr>
        <w:t>2</w:t>
      </w:r>
      <w:r w:rsidRPr="009C2720">
        <w:rPr>
          <w:i/>
          <w:sz w:val="20"/>
        </w:rPr>
        <w:t xml:space="preserve"> ). Die Irrationalität von √2 zeigt, dass das Verhältnis Diagonale/Seitenlänge im Quadrat nicht rational ist, d.h. dass bereits die einfachsten geometrischen Figuren nicht durch "Aneinanderl</w:t>
      </w:r>
      <w:r w:rsidRPr="009C2720">
        <w:rPr>
          <w:i/>
          <w:sz w:val="20"/>
        </w:rPr>
        <w:t>e</w:t>
      </w:r>
      <w:r w:rsidRPr="009C2720">
        <w:rPr>
          <w:i/>
          <w:sz w:val="20"/>
        </w:rPr>
        <w:t>gen" von Kopien einer "kleinsten Elementarlänge" zu konstruieren sind. Diese Erkenntnis hat vermu</w:t>
      </w:r>
      <w:r w:rsidRPr="009C2720">
        <w:rPr>
          <w:i/>
          <w:sz w:val="20"/>
        </w:rPr>
        <w:t>t</w:t>
      </w:r>
      <w:r w:rsidRPr="009C2720">
        <w:rPr>
          <w:i/>
          <w:sz w:val="20"/>
        </w:rPr>
        <w:t>lich im fünften vorchristlichen Jahrhundert eine der ersten Grundlagenkrisen der Mathematik ausg</w:t>
      </w:r>
      <w:r w:rsidRPr="009C2720">
        <w:rPr>
          <w:i/>
          <w:sz w:val="20"/>
        </w:rPr>
        <w:t>e</w:t>
      </w:r>
      <w:r w:rsidRPr="009C2720">
        <w:rPr>
          <w:i/>
          <w:sz w:val="20"/>
        </w:rPr>
        <w:t xml:space="preserve">löst. </w:t>
      </w:r>
    </w:p>
    <w:p w:rsidR="009C2720" w:rsidRPr="009C2720" w:rsidRDefault="009C2720" w:rsidP="009C2720">
      <w:pPr>
        <w:numPr>
          <w:ilvl w:val="0"/>
          <w:numId w:val="17"/>
        </w:numPr>
        <w:tabs>
          <w:tab w:val="clear" w:pos="432"/>
        </w:tabs>
        <w:spacing w:after="40"/>
        <w:ind w:left="0" w:firstLine="0"/>
        <w:rPr>
          <w:rFonts w:ascii="Calibri" w:hAnsi="Calibri" w:cs="Times New Roman"/>
          <w:bCs/>
          <w:sz w:val="24"/>
          <w:szCs w:val="24"/>
          <w:lang w:eastAsia="ar-SA"/>
        </w:rPr>
      </w:pPr>
    </w:p>
    <w:p w:rsidR="000051B1" w:rsidRPr="009C2720" w:rsidRDefault="000051B1" w:rsidP="009C2720"/>
    <w:sectPr w:rsidR="000051B1" w:rsidRPr="009C2720" w:rsidSect="006347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B01" w:rsidRDefault="00855B01">
      <w:r>
        <w:separator/>
      </w:r>
    </w:p>
  </w:endnote>
  <w:endnote w:type="continuationSeparator" w:id="0">
    <w:p w:rsidR="00855B01" w:rsidRDefault="0085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6347B7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728743"/>
      <w:docPartObj>
        <w:docPartGallery w:val="Page Numbers (Bottom of Page)"/>
        <w:docPartUnique/>
      </w:docPartObj>
    </w:sdtPr>
    <w:sdtEndPr/>
    <w:sdtContent>
      <w:p w:rsidR="004C2768" w:rsidRDefault="004C276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40D"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124" w:rsidRDefault="00AB512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B01" w:rsidRDefault="00855B01">
      <w:r>
        <w:separator/>
      </w:r>
    </w:p>
  </w:footnote>
  <w:footnote w:type="continuationSeparator" w:id="0">
    <w:p w:rsidR="00855B01" w:rsidRDefault="00855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8D54DA" w:rsidRDefault="00793573" w:rsidP="00B05948">
    <w:pPr>
      <w:pStyle w:val="Kopfzeile"/>
      <w:jc w:val="right"/>
      <w:rPr>
        <w:color w:val="808080"/>
        <w:sz w:val="20"/>
        <w:szCs w:val="20"/>
      </w:rPr>
    </w:pPr>
    <w:r>
      <w:rPr>
        <w:noProof/>
        <w:color w:val="808080"/>
        <w:sz w:val="20"/>
        <w:szCs w:val="20"/>
      </w:rPr>
      <w:drawing>
        <wp:anchor distT="0" distB="0" distL="114300" distR="114300" simplePos="0" relativeHeight="251659264" behindDoc="0" locked="0" layoutInCell="1" allowOverlap="1" wp14:anchorId="7E8CDA55" wp14:editId="7CA0EA95">
          <wp:simplePos x="0" y="0"/>
          <wp:positionH relativeFrom="column">
            <wp:posOffset>0</wp:posOffset>
          </wp:positionH>
          <wp:positionV relativeFrom="paragraph">
            <wp:posOffset>-62230</wp:posOffset>
          </wp:positionV>
          <wp:extent cx="302260" cy="266700"/>
          <wp:effectExtent l="0" t="0" r="2540" b="0"/>
          <wp:wrapNone/>
          <wp:docPr id="4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545223" wp14:editId="71DFD3DD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531A8A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>
      <w:rPr>
        <w:noProof/>
        <w:color w:val="808080"/>
        <w:sz w:val="20"/>
        <w:szCs w:val="20"/>
      </w:rPr>
      <w:t>Titel</w:t>
    </w:r>
    <w:r w:rsidRPr="008D54DA">
      <w:rPr>
        <w:color w:val="808080"/>
        <w:sz w:val="20"/>
        <w:szCs w:val="20"/>
      </w:rPr>
      <w:t xml:space="preserve"> der Handreichung (Doppelklick!)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768" w:rsidRDefault="004C2768" w:rsidP="004C2768">
    <w:pPr>
      <w:pStyle w:val="Kopfzeile"/>
      <w:tabs>
        <w:tab w:val="clear" w:pos="4536"/>
        <w:tab w:val="clear" w:pos="9072"/>
        <w:tab w:val="left" w:pos="4110"/>
        <w:tab w:val="left" w:pos="8103"/>
      </w:tabs>
    </w:pPr>
    <w:r w:rsidRPr="00A30C53">
      <w:rPr>
        <w:noProof/>
        <w:color w:val="808080"/>
        <w:szCs w:val="20"/>
      </w:rPr>
      <w:drawing>
        <wp:anchor distT="0" distB="0" distL="114300" distR="114300" simplePos="0" relativeHeight="251661312" behindDoc="0" locked="0" layoutInCell="1" allowOverlap="1" wp14:anchorId="3194A186" wp14:editId="2E054F46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8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4C2768" w:rsidTr="00333D0F">
      <w:tc>
        <w:tcPr>
          <w:tcW w:w="3369" w:type="dxa"/>
        </w:tcPr>
        <w:p w:rsidR="004C2768" w:rsidRDefault="004C2768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</w:p>
      </w:tc>
      <w:tc>
        <w:tcPr>
          <w:tcW w:w="1842" w:type="dxa"/>
        </w:tcPr>
        <w:p w:rsidR="004C2768" w:rsidRDefault="004C2768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  <w:r w:rsidRPr="00A30C53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</w:tcPr>
        <w:p w:rsidR="004C2768" w:rsidRDefault="004C2768" w:rsidP="000051B1">
          <w:pPr>
            <w:pStyle w:val="Kopfzeile"/>
            <w:tabs>
              <w:tab w:val="clear" w:pos="4536"/>
              <w:tab w:val="clear" w:pos="9072"/>
              <w:tab w:val="left" w:pos="8103"/>
            </w:tabs>
            <w:jc w:val="right"/>
          </w:pPr>
          <w:r>
            <w:rPr>
              <w:noProof/>
              <w:color w:val="808080"/>
              <w:szCs w:val="20"/>
            </w:rPr>
            <w:fldChar w:fldCharType="begin"/>
          </w:r>
          <w:r>
            <w:rPr>
              <w:noProof/>
              <w:color w:val="808080"/>
              <w:szCs w:val="20"/>
            </w:rPr>
            <w:instrText xml:space="preserve"> FILENAME  -docx \* MERGEFORMAT </w:instrText>
          </w:r>
          <w:r>
            <w:rPr>
              <w:noProof/>
              <w:color w:val="808080"/>
              <w:szCs w:val="20"/>
            </w:rPr>
            <w:fldChar w:fldCharType="separate"/>
          </w:r>
          <w:r w:rsidR="0008140D">
            <w:rPr>
              <w:noProof/>
              <w:color w:val="808080"/>
              <w:szCs w:val="20"/>
            </w:rPr>
            <w:t>2.1.2 Irrationalität Wurzel 2</w:t>
          </w:r>
          <w:r>
            <w:rPr>
              <w:noProof/>
              <w:color w:val="808080"/>
              <w:szCs w:val="20"/>
            </w:rPr>
            <w:fldChar w:fldCharType="end"/>
          </w:r>
          <w:bookmarkStart w:id="0" w:name="_GoBack"/>
          <w:bookmarkEnd w:id="0"/>
        </w:p>
      </w:tc>
    </w:tr>
  </w:tbl>
  <w:p w:rsidR="004C2768" w:rsidRDefault="004C2768" w:rsidP="004C2768">
    <w:pPr>
      <w:pStyle w:val="Kopfzeile"/>
    </w:pPr>
  </w:p>
  <w:p w:rsidR="00793573" w:rsidRPr="004C2768" w:rsidRDefault="00793573" w:rsidP="004C276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124" w:rsidRDefault="00AB512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80DED"/>
    <w:multiLevelType w:val="hybridMultilevel"/>
    <w:tmpl w:val="43AEF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A39DE"/>
    <w:multiLevelType w:val="multilevel"/>
    <w:tmpl w:val="75B6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AB5846"/>
    <w:multiLevelType w:val="hybridMultilevel"/>
    <w:tmpl w:val="84761314"/>
    <w:lvl w:ilvl="0" w:tplc="0407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7B8040B"/>
    <w:multiLevelType w:val="multilevel"/>
    <w:tmpl w:val="94BC8CD8"/>
    <w:lvl w:ilvl="0">
      <w:start w:val="1"/>
      <w:numFmt w:val="decimal"/>
      <w:pStyle w:val="LSberschrift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68E159A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1"/>
  </w:num>
  <w:num w:numId="3">
    <w:abstractNumId w:val="0"/>
  </w:num>
  <w:num w:numId="4">
    <w:abstractNumId w:val="10"/>
  </w:num>
  <w:num w:numId="5">
    <w:abstractNumId w:val="13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4"/>
  </w:num>
  <w:num w:numId="7">
    <w:abstractNumId w:val="5"/>
  </w:num>
  <w:num w:numId="8">
    <w:abstractNumId w:val="18"/>
  </w:num>
  <w:num w:numId="9">
    <w:abstractNumId w:val="6"/>
  </w:num>
  <w:num w:numId="10">
    <w:abstractNumId w:val="22"/>
  </w:num>
  <w:num w:numId="11">
    <w:abstractNumId w:val="8"/>
  </w:num>
  <w:num w:numId="12">
    <w:abstractNumId w:val="14"/>
  </w:num>
  <w:num w:numId="13">
    <w:abstractNumId w:val="9"/>
  </w:num>
  <w:num w:numId="14">
    <w:abstractNumId w:val="19"/>
  </w:num>
  <w:num w:numId="15">
    <w:abstractNumId w:val="16"/>
  </w:num>
  <w:num w:numId="16">
    <w:abstractNumId w:val="7"/>
  </w:num>
  <w:num w:numId="17">
    <w:abstractNumId w:val="15"/>
  </w:num>
  <w:num w:numId="18">
    <w:abstractNumId w:val="17"/>
  </w:num>
  <w:num w:numId="19">
    <w:abstractNumId w:val="4"/>
  </w:num>
  <w:num w:numId="20">
    <w:abstractNumId w:val="12"/>
  </w:num>
  <w:num w:numId="21">
    <w:abstractNumId w:val="21"/>
  </w:num>
  <w:num w:numId="22">
    <w:abstractNumId w:val="1"/>
  </w:num>
  <w:num w:numId="23">
    <w:abstractNumId w:val="3"/>
  </w:num>
  <w:num w:numId="24">
    <w:abstractNumId w:val="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7B7"/>
    <w:rsid w:val="000051B1"/>
    <w:rsid w:val="00005C03"/>
    <w:rsid w:val="00007074"/>
    <w:rsid w:val="0003605E"/>
    <w:rsid w:val="000402B5"/>
    <w:rsid w:val="00055140"/>
    <w:rsid w:val="00071A39"/>
    <w:rsid w:val="00071CD0"/>
    <w:rsid w:val="000778EF"/>
    <w:rsid w:val="0008140D"/>
    <w:rsid w:val="000B734D"/>
    <w:rsid w:val="000C0622"/>
    <w:rsid w:val="000C17EA"/>
    <w:rsid w:val="000D02A4"/>
    <w:rsid w:val="000E5B58"/>
    <w:rsid w:val="000F0FAA"/>
    <w:rsid w:val="000F4ADD"/>
    <w:rsid w:val="001055D9"/>
    <w:rsid w:val="00116CF0"/>
    <w:rsid w:val="0012069F"/>
    <w:rsid w:val="00122A06"/>
    <w:rsid w:val="00143B1A"/>
    <w:rsid w:val="00157962"/>
    <w:rsid w:val="001737D9"/>
    <w:rsid w:val="00192067"/>
    <w:rsid w:val="001C0B99"/>
    <w:rsid w:val="001D407F"/>
    <w:rsid w:val="001E03B5"/>
    <w:rsid w:val="00201056"/>
    <w:rsid w:val="00203069"/>
    <w:rsid w:val="00204EC3"/>
    <w:rsid w:val="002204C6"/>
    <w:rsid w:val="0023593D"/>
    <w:rsid w:val="00235E0A"/>
    <w:rsid w:val="0024375B"/>
    <w:rsid w:val="00257522"/>
    <w:rsid w:val="002773E6"/>
    <w:rsid w:val="002A5DAD"/>
    <w:rsid w:val="002C3C0B"/>
    <w:rsid w:val="002E3133"/>
    <w:rsid w:val="002F65B1"/>
    <w:rsid w:val="0033767E"/>
    <w:rsid w:val="00341135"/>
    <w:rsid w:val="00354A87"/>
    <w:rsid w:val="00364DEA"/>
    <w:rsid w:val="00381971"/>
    <w:rsid w:val="00385B0E"/>
    <w:rsid w:val="003A0D0B"/>
    <w:rsid w:val="003B771D"/>
    <w:rsid w:val="003D403B"/>
    <w:rsid w:val="003E4A0C"/>
    <w:rsid w:val="003E5315"/>
    <w:rsid w:val="003F6526"/>
    <w:rsid w:val="00427E5D"/>
    <w:rsid w:val="00454A8D"/>
    <w:rsid w:val="004609C0"/>
    <w:rsid w:val="00473702"/>
    <w:rsid w:val="004C2768"/>
    <w:rsid w:val="004D6055"/>
    <w:rsid w:val="004E7610"/>
    <w:rsid w:val="004F6C58"/>
    <w:rsid w:val="00506DB8"/>
    <w:rsid w:val="00507E7B"/>
    <w:rsid w:val="005620DE"/>
    <w:rsid w:val="00564E18"/>
    <w:rsid w:val="005653AE"/>
    <w:rsid w:val="00580F3F"/>
    <w:rsid w:val="005877DB"/>
    <w:rsid w:val="00592774"/>
    <w:rsid w:val="005C045C"/>
    <w:rsid w:val="005D427E"/>
    <w:rsid w:val="005E70FD"/>
    <w:rsid w:val="005E7281"/>
    <w:rsid w:val="005F6605"/>
    <w:rsid w:val="006047C3"/>
    <w:rsid w:val="0060782F"/>
    <w:rsid w:val="006220E5"/>
    <w:rsid w:val="0063100A"/>
    <w:rsid w:val="006347B7"/>
    <w:rsid w:val="0063710D"/>
    <w:rsid w:val="0064779A"/>
    <w:rsid w:val="00647F81"/>
    <w:rsid w:val="0065665E"/>
    <w:rsid w:val="00663B0B"/>
    <w:rsid w:val="00664723"/>
    <w:rsid w:val="00675A8E"/>
    <w:rsid w:val="00696651"/>
    <w:rsid w:val="006B4795"/>
    <w:rsid w:val="006C025B"/>
    <w:rsid w:val="006D439A"/>
    <w:rsid w:val="006D65B3"/>
    <w:rsid w:val="006E079C"/>
    <w:rsid w:val="006F7EA3"/>
    <w:rsid w:val="007063AB"/>
    <w:rsid w:val="00715EA6"/>
    <w:rsid w:val="00721505"/>
    <w:rsid w:val="00757897"/>
    <w:rsid w:val="00780905"/>
    <w:rsid w:val="00793573"/>
    <w:rsid w:val="00800B6F"/>
    <w:rsid w:val="00826AF5"/>
    <w:rsid w:val="00841AB6"/>
    <w:rsid w:val="00855B01"/>
    <w:rsid w:val="00856664"/>
    <w:rsid w:val="00880CCF"/>
    <w:rsid w:val="00894E34"/>
    <w:rsid w:val="00897B38"/>
    <w:rsid w:val="008A37C8"/>
    <w:rsid w:val="008D54DA"/>
    <w:rsid w:val="008E3020"/>
    <w:rsid w:val="00917FBE"/>
    <w:rsid w:val="00923245"/>
    <w:rsid w:val="00942134"/>
    <w:rsid w:val="0094646F"/>
    <w:rsid w:val="009468E0"/>
    <w:rsid w:val="00951096"/>
    <w:rsid w:val="0097468B"/>
    <w:rsid w:val="009773B1"/>
    <w:rsid w:val="0098424E"/>
    <w:rsid w:val="009A6EEB"/>
    <w:rsid w:val="009C034D"/>
    <w:rsid w:val="009C2720"/>
    <w:rsid w:val="009D2399"/>
    <w:rsid w:val="009D42E1"/>
    <w:rsid w:val="009E4024"/>
    <w:rsid w:val="00A01090"/>
    <w:rsid w:val="00A069C4"/>
    <w:rsid w:val="00A2210F"/>
    <w:rsid w:val="00A419C9"/>
    <w:rsid w:val="00A61C98"/>
    <w:rsid w:val="00A6202E"/>
    <w:rsid w:val="00A8278F"/>
    <w:rsid w:val="00A90681"/>
    <w:rsid w:val="00A94591"/>
    <w:rsid w:val="00AB5124"/>
    <w:rsid w:val="00AD1028"/>
    <w:rsid w:val="00AE1300"/>
    <w:rsid w:val="00B026A6"/>
    <w:rsid w:val="00B03CDE"/>
    <w:rsid w:val="00B05948"/>
    <w:rsid w:val="00B16C22"/>
    <w:rsid w:val="00B26F7E"/>
    <w:rsid w:val="00B32153"/>
    <w:rsid w:val="00B36BFF"/>
    <w:rsid w:val="00B511CA"/>
    <w:rsid w:val="00B714DE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18A3"/>
    <w:rsid w:val="00C0200E"/>
    <w:rsid w:val="00C07AEB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D12434"/>
    <w:rsid w:val="00D12EB6"/>
    <w:rsid w:val="00D16D34"/>
    <w:rsid w:val="00D23DB4"/>
    <w:rsid w:val="00D44738"/>
    <w:rsid w:val="00D54CA8"/>
    <w:rsid w:val="00D5658F"/>
    <w:rsid w:val="00DB1BBF"/>
    <w:rsid w:val="00DF0915"/>
    <w:rsid w:val="00DF792E"/>
    <w:rsid w:val="00E04B87"/>
    <w:rsid w:val="00E6612D"/>
    <w:rsid w:val="00E70711"/>
    <w:rsid w:val="00E721C9"/>
    <w:rsid w:val="00E940D0"/>
    <w:rsid w:val="00EB4322"/>
    <w:rsid w:val="00EB5BFA"/>
    <w:rsid w:val="00EC5492"/>
    <w:rsid w:val="00ED5F2C"/>
    <w:rsid w:val="00EE1BB4"/>
    <w:rsid w:val="00EF77B0"/>
    <w:rsid w:val="00F02534"/>
    <w:rsid w:val="00F02A0F"/>
    <w:rsid w:val="00F06927"/>
    <w:rsid w:val="00F113D4"/>
    <w:rsid w:val="00F43BBD"/>
    <w:rsid w:val="00F850C6"/>
    <w:rsid w:val="00F865F8"/>
    <w:rsid w:val="00F9544A"/>
    <w:rsid w:val="00FA45EC"/>
    <w:rsid w:val="00FB4EF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4C2768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character" w:customStyle="1" w:styleId="KopfzeileZchn">
    <w:name w:val="Kopfzeile Zchn"/>
    <w:basedOn w:val="Absatz-Standardschriftart"/>
    <w:link w:val="Kopfzeile"/>
    <w:rsid w:val="003D403B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2768"/>
    <w:rPr>
      <w:rFonts w:ascii="Arial" w:hAnsi="Arial" w:cs="Arial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4C2768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character" w:customStyle="1" w:styleId="KopfzeileZchn">
    <w:name w:val="Kopfzeile Zchn"/>
    <w:basedOn w:val="Absatz-Standardschriftart"/>
    <w:link w:val="Kopfzeile"/>
    <w:rsid w:val="003D403B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2768"/>
    <w:rPr>
      <w:rFonts w:ascii="Arial" w:hAnsi="Arial" w:cs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LEMD~1\AppData\Local\Temp\HandreichungsdummyV18.1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63A2-CDAE-4506-9A63-B49FBEA1B3C9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35BB18-4AF4-468C-92B8-971D3C65B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HandreichungsdummyV18.1-1</Template>
  <TotalTime>0</TotalTime>
  <Pages>1</Pages>
  <Words>269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1827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Izlem Dogan</dc:creator>
  <cp:lastModifiedBy>Nacke, Pierre (LS)</cp:lastModifiedBy>
  <cp:revision>4</cp:revision>
  <cp:lastPrinted>2012-09-06T08:52:00Z</cp:lastPrinted>
  <dcterms:created xsi:type="dcterms:W3CDTF">2015-10-09T07:03:00Z</dcterms:created>
  <dcterms:modified xsi:type="dcterms:W3CDTF">2015-11-17T13:49:00Z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