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765" w:type="pct"/>
        <w:tblBorders>
          <w:top w:val="single" w:sz="8" w:space="0" w:color="auto"/>
          <w:left w:val="single" w:sz="8" w:space="0" w:color="auto"/>
          <w:bottom w:val="single" w:sz="8" w:space="0" w:color="auto"/>
          <w:right w:val="single" w:sz="8" w:space="0" w:color="auto"/>
        </w:tblBorders>
        <w:tblLayout w:type="fixed"/>
        <w:tblCellMar>
          <w:top w:w="34" w:type="dxa"/>
          <w:left w:w="34" w:type="dxa"/>
          <w:bottom w:w="34" w:type="dxa"/>
          <w:right w:w="34" w:type="dxa"/>
        </w:tblCellMar>
        <w:tblLook w:val="00A0" w:firstRow="1" w:lastRow="0" w:firstColumn="1" w:lastColumn="0" w:noHBand="0" w:noVBand="0"/>
      </w:tblPr>
      <w:tblGrid>
        <w:gridCol w:w="9249"/>
      </w:tblGrid>
      <w:tr w:rsidR="006C499A" w:rsidRPr="00555738" w:rsidTr="0029645C">
        <w:tc>
          <w:tcPr>
            <w:tcW w:w="5000" w:type="pct"/>
            <w:tcBorders>
              <w:top w:val="nil"/>
              <w:left w:val="nil"/>
              <w:bottom w:val="nil"/>
              <w:right w:val="nil"/>
            </w:tcBorders>
            <w:shd w:val="clear" w:color="auto" w:fill="auto"/>
          </w:tcPr>
          <w:p w:rsidR="006C499A" w:rsidRDefault="006C499A" w:rsidP="000A72F0">
            <w:pPr>
              <w:shd w:val="clear" w:color="auto" w:fill="D9D9D9" w:themeFill="background1" w:themeFillShade="D9"/>
              <w:spacing w:before="120" w:after="120"/>
              <w:rPr>
                <w:b/>
                <w:sz w:val="22"/>
              </w:rPr>
            </w:pPr>
            <w:r w:rsidRPr="00A825CF">
              <w:rPr>
                <w:b/>
                <w:sz w:val="22"/>
              </w:rPr>
              <w:t>Exemplarischer Charakter dieses Unterrichts</w:t>
            </w:r>
            <w:r>
              <w:rPr>
                <w:b/>
                <w:sz w:val="22"/>
              </w:rPr>
              <w:t xml:space="preserve">arrangements </w:t>
            </w:r>
            <w:r w:rsidRPr="00A825CF">
              <w:rPr>
                <w:b/>
                <w:sz w:val="22"/>
              </w:rPr>
              <w:t xml:space="preserve">für </w:t>
            </w:r>
            <w:r>
              <w:rPr>
                <w:b/>
                <w:sz w:val="22"/>
              </w:rPr>
              <w:t>i</w:t>
            </w:r>
            <w:r w:rsidRPr="00A825CF">
              <w:rPr>
                <w:b/>
                <w:sz w:val="22"/>
              </w:rPr>
              <w:t>ndividuelle Förderung</w:t>
            </w:r>
          </w:p>
          <w:p w:rsidR="006C499A" w:rsidRPr="009B4B1C" w:rsidRDefault="006C499A" w:rsidP="000A72F0">
            <w:pPr>
              <w:spacing w:after="160" w:line="259" w:lineRule="auto"/>
              <w:rPr>
                <w:rFonts w:eastAsia="Calibri"/>
                <w:sz w:val="20"/>
                <w:szCs w:val="20"/>
              </w:rPr>
            </w:pPr>
            <w:r w:rsidRPr="00C51381">
              <w:rPr>
                <w:rFonts w:eastAsia="Calibri"/>
                <w:sz w:val="20"/>
                <w:szCs w:val="20"/>
              </w:rPr>
              <w:t xml:space="preserve">Ausgehend von der Beobachtung, dass der Lernerfolg oft gering bleibt, wenn den Lernenden fertige Lehrgebäude vorgesetzt werden, die ohne Rücksicht auf die individuellen Unterschiede in Bezug auf Vorwissen, Lerntempo und Lerntyp entworfen wurden, entwickelten die Schweizer Didaktiker Urs Ruf und Peter </w:t>
            </w:r>
            <w:proofErr w:type="spellStart"/>
            <w:r w:rsidRPr="00C51381">
              <w:rPr>
                <w:rFonts w:eastAsia="Calibri"/>
                <w:sz w:val="20"/>
                <w:szCs w:val="20"/>
              </w:rPr>
              <w:t>Gallin</w:t>
            </w:r>
            <w:proofErr w:type="spellEnd"/>
            <w:r w:rsidRPr="00C51381">
              <w:rPr>
                <w:rFonts w:eastAsia="Calibri"/>
                <w:sz w:val="20"/>
                <w:szCs w:val="20"/>
              </w:rPr>
              <w:t xml:space="preserve"> gemeinsam ein Konzept für ein „Lernen auf eigenen Wegen“, das versucht, allen Schülerinnen und Schülern die Möglichkeit zu geben, sich individuell mit einem Stoff auseinanderzusetzen, über dabei entdeckte Zusammenhänge in einen Dialog einzutreten und so schließlich zu einem wirklichen Können und nicht nur zu einem Anwenden von z.B. unverstandenen Algorithmen zu gelangen.</w:t>
            </w:r>
          </w:p>
        </w:tc>
      </w:tr>
      <w:tr w:rsidR="006C499A" w:rsidRPr="00555738" w:rsidTr="0029645C">
        <w:tc>
          <w:tcPr>
            <w:tcW w:w="5000" w:type="pct"/>
            <w:tcBorders>
              <w:top w:val="nil"/>
              <w:left w:val="nil"/>
              <w:bottom w:val="nil"/>
              <w:right w:val="nil"/>
            </w:tcBorders>
            <w:shd w:val="clear" w:color="auto" w:fill="auto"/>
          </w:tcPr>
          <w:p w:rsidR="006C499A" w:rsidRPr="008945B0" w:rsidRDefault="006C499A" w:rsidP="000A72F0">
            <w:pPr>
              <w:spacing w:before="60" w:after="60"/>
              <w:rPr>
                <w:b/>
                <w:sz w:val="20"/>
              </w:rPr>
            </w:pPr>
            <w:r>
              <w:rPr>
                <w:b/>
                <w:sz w:val="20"/>
              </w:rPr>
              <w:t>P</w:t>
            </w:r>
            <w:r w:rsidRPr="005C40E6">
              <w:rPr>
                <w:b/>
                <w:sz w:val="20"/>
              </w:rPr>
              <w:t xml:space="preserve">ädagogische Diagnose und Förderplanung: </w:t>
            </w:r>
          </w:p>
        </w:tc>
      </w:tr>
      <w:tr w:rsidR="006C499A" w:rsidRPr="00555738" w:rsidTr="0029645C">
        <w:trPr>
          <w:trHeight w:val="302"/>
        </w:trPr>
        <w:tc>
          <w:tcPr>
            <w:tcW w:w="5000" w:type="pct"/>
            <w:tcBorders>
              <w:top w:val="nil"/>
              <w:left w:val="nil"/>
              <w:bottom w:val="nil"/>
              <w:right w:val="nil"/>
            </w:tcBorders>
          </w:tcPr>
          <w:p w:rsidR="006C499A" w:rsidRPr="00FC23C3" w:rsidRDefault="006C499A" w:rsidP="000A72F0">
            <w:pPr>
              <w:rPr>
                <w:rStyle w:val="Fett"/>
                <w:b w:val="0"/>
                <w:bCs w:val="0"/>
                <w:sz w:val="20"/>
                <w:szCs w:val="20"/>
              </w:rPr>
            </w:pPr>
            <w:r w:rsidRPr="00FC23C3">
              <w:rPr>
                <w:rStyle w:val="Fett"/>
                <w:sz w:val="20"/>
                <w:szCs w:val="20"/>
                <w:u w:val="single"/>
              </w:rPr>
              <w:t>Selbsteinschätzungsbogen</w:t>
            </w:r>
          </w:p>
          <w:p w:rsidR="006C499A" w:rsidRPr="00351523" w:rsidRDefault="006C499A" w:rsidP="006C499A">
            <w:pPr>
              <w:pStyle w:val="Listenabsatz"/>
              <w:numPr>
                <w:ilvl w:val="0"/>
                <w:numId w:val="3"/>
              </w:numPr>
              <w:rPr>
                <w:rStyle w:val="Fett"/>
                <w:b w:val="0"/>
                <w:bCs w:val="0"/>
                <w:sz w:val="20"/>
                <w:szCs w:val="20"/>
              </w:rPr>
            </w:pPr>
            <w:r w:rsidRPr="00351523">
              <w:rPr>
                <w:rStyle w:val="Fett"/>
                <w:sz w:val="20"/>
                <w:szCs w:val="20"/>
              </w:rPr>
              <w:t>Zur Abschätzung des individuellen Wissenstan</w:t>
            </w:r>
            <w:r>
              <w:rPr>
                <w:rStyle w:val="Fett"/>
                <w:sz w:val="20"/>
                <w:szCs w:val="20"/>
              </w:rPr>
              <w:t>ds vor- und nach der Bearbeitung.</w:t>
            </w:r>
          </w:p>
          <w:p w:rsidR="006C499A" w:rsidRPr="009B4B1C" w:rsidRDefault="006C499A" w:rsidP="006C499A">
            <w:pPr>
              <w:pStyle w:val="Listenabsatz"/>
              <w:numPr>
                <w:ilvl w:val="0"/>
                <w:numId w:val="3"/>
              </w:numPr>
              <w:rPr>
                <w:sz w:val="20"/>
              </w:rPr>
            </w:pPr>
            <w:r w:rsidRPr="00351523">
              <w:rPr>
                <w:sz w:val="20"/>
                <w:szCs w:val="20"/>
              </w:rPr>
              <w:t>Selbstkontrolle fördert Selbsteinsicht und Verantwortung bzgl. persönlicher Kompetenzen und des Bedarfs ihrer Optimierung.</w:t>
            </w:r>
            <w:r w:rsidRPr="009B4B1C">
              <w:rPr>
                <w:sz w:val="20"/>
              </w:rPr>
              <w:t xml:space="preserve"> </w:t>
            </w:r>
          </w:p>
        </w:tc>
      </w:tr>
    </w:tbl>
    <w:p w:rsidR="006C499A" w:rsidRDefault="006C499A" w:rsidP="006C499A"/>
    <w:tbl>
      <w:tblPr>
        <w:tblW w:w="4765" w:type="pct"/>
        <w:tblBorders>
          <w:top w:val="single" w:sz="8" w:space="0" w:color="auto"/>
          <w:left w:val="single" w:sz="8" w:space="0" w:color="auto"/>
          <w:bottom w:val="single" w:sz="8" w:space="0" w:color="auto"/>
          <w:right w:val="single" w:sz="8" w:space="0" w:color="auto"/>
        </w:tblBorders>
        <w:tblLayout w:type="fixed"/>
        <w:tblCellMar>
          <w:top w:w="34" w:type="dxa"/>
          <w:left w:w="34" w:type="dxa"/>
          <w:bottom w:w="34" w:type="dxa"/>
          <w:right w:w="34" w:type="dxa"/>
        </w:tblCellMar>
        <w:tblLook w:val="00A0" w:firstRow="1" w:lastRow="0" w:firstColumn="1" w:lastColumn="0" w:noHBand="0" w:noVBand="0"/>
      </w:tblPr>
      <w:tblGrid>
        <w:gridCol w:w="9249"/>
      </w:tblGrid>
      <w:tr w:rsidR="006C499A" w:rsidRPr="00555738" w:rsidTr="0029645C">
        <w:trPr>
          <w:trHeight w:val="302"/>
        </w:trPr>
        <w:tc>
          <w:tcPr>
            <w:tcW w:w="5000" w:type="pct"/>
            <w:tcBorders>
              <w:top w:val="nil"/>
              <w:left w:val="nil"/>
              <w:bottom w:val="nil"/>
              <w:right w:val="nil"/>
            </w:tcBorders>
          </w:tcPr>
          <w:p w:rsidR="006C499A" w:rsidRPr="008945B0" w:rsidRDefault="006C499A" w:rsidP="000A72F0">
            <w:pPr>
              <w:spacing w:before="60" w:after="60"/>
              <w:rPr>
                <w:b/>
                <w:sz w:val="20"/>
              </w:rPr>
            </w:pPr>
            <w:r w:rsidRPr="005C40E6">
              <w:rPr>
                <w:b/>
                <w:sz w:val="20"/>
              </w:rPr>
              <w:t xml:space="preserve">Lernzeitgestaltung: </w:t>
            </w:r>
          </w:p>
        </w:tc>
      </w:tr>
      <w:tr w:rsidR="006C499A" w:rsidRPr="00555738" w:rsidTr="0029645C">
        <w:trPr>
          <w:trHeight w:val="302"/>
        </w:trPr>
        <w:tc>
          <w:tcPr>
            <w:tcW w:w="5000" w:type="pct"/>
            <w:tcBorders>
              <w:top w:val="nil"/>
              <w:left w:val="nil"/>
              <w:bottom w:val="nil"/>
              <w:right w:val="nil"/>
            </w:tcBorders>
          </w:tcPr>
          <w:p w:rsidR="006C499A" w:rsidRPr="006766FE" w:rsidRDefault="006C499A" w:rsidP="000A72F0">
            <w:pPr>
              <w:rPr>
                <w:sz w:val="20"/>
                <w:szCs w:val="20"/>
              </w:rPr>
            </w:pPr>
            <w:r w:rsidRPr="00FC23C3">
              <w:rPr>
                <w:sz w:val="20"/>
                <w:szCs w:val="20"/>
                <w:u w:val="single"/>
              </w:rPr>
              <w:t>Dialogisches Lernen</w:t>
            </w:r>
            <w:r w:rsidRPr="006766FE">
              <w:rPr>
                <w:sz w:val="20"/>
                <w:szCs w:val="20"/>
              </w:rPr>
              <w:t xml:space="preserve"> funktioniert über ein Set von vier Instrumenten, welche durch fortlaufende Verkettung von Produktion und Rezeption dem individuellen Lernen Richtung und Halt geben.</w:t>
            </w:r>
          </w:p>
          <w:p w:rsidR="009138E8" w:rsidRDefault="009138E8" w:rsidP="000A72F0">
            <w:pPr>
              <w:rPr>
                <w:sz w:val="20"/>
                <w:szCs w:val="20"/>
              </w:rPr>
            </w:pPr>
          </w:p>
          <w:p w:rsidR="009138E8" w:rsidRDefault="006C499A" w:rsidP="000A72F0">
            <w:pPr>
              <w:rPr>
                <w:sz w:val="20"/>
                <w:szCs w:val="20"/>
              </w:rPr>
            </w:pPr>
            <w:r w:rsidRPr="006766FE">
              <w:rPr>
                <w:noProof/>
                <w:sz w:val="20"/>
                <w:szCs w:val="20"/>
                <w:lang w:eastAsia="de-DE"/>
              </w:rPr>
              <w:drawing>
                <wp:anchor distT="0" distB="0" distL="114300" distR="114300" simplePos="0" relativeHeight="251659264" behindDoc="0" locked="0" layoutInCell="1" allowOverlap="1" wp14:anchorId="1E01A787" wp14:editId="4084B491">
                  <wp:simplePos x="0" y="0"/>
                  <wp:positionH relativeFrom="column">
                    <wp:posOffset>-5715</wp:posOffset>
                  </wp:positionH>
                  <wp:positionV relativeFrom="paragraph">
                    <wp:posOffset>8786</wp:posOffset>
                  </wp:positionV>
                  <wp:extent cx="2994660" cy="2980690"/>
                  <wp:effectExtent l="0" t="0" r="0" b="0"/>
                  <wp:wrapSquare wrapText="bothSides"/>
                  <wp:docPr id="1" name="Grafik 1" descr="C:\Users\reto\Google Drive\Seminar\IF\Best Practice\Dialogisches Lernen\DL_Instrumen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to\Google Drive\Seminar\IF\Best Practice\Dialogisches Lernen\DL_Instrumente.png"/>
                          <pic:cNvPicPr>
                            <a:picLocks noChangeAspect="1" noChangeArrowheads="1"/>
                          </pic:cNvPicPr>
                        </pic:nvPicPr>
                        <pic:blipFill>
                          <a:blip r:embed="rId8">
                            <a:extLst>
                              <a:ext uri="{28A0092B-C50C-407E-A947-70E740481C1C}">
                                <a14:useLocalDpi xmlns:a14="http://schemas.microsoft.com/office/drawing/2010/main" val="0"/>
                              </a:ext>
                            </a:extLst>
                          </a:blip>
                          <a:srcRect l="27519" t="10130" r="27287" b="9717"/>
                          <a:stretch>
                            <a:fillRect/>
                          </a:stretch>
                        </pic:blipFill>
                        <pic:spPr bwMode="auto">
                          <a:xfrm>
                            <a:off x="0" y="0"/>
                            <a:ext cx="2994660" cy="2980690"/>
                          </a:xfrm>
                          <a:prstGeom prst="rect">
                            <a:avLst/>
                          </a:prstGeom>
                          <a:ln w="228600" cap="sq" cmpd="thickThin">
                            <a:noFill/>
                            <a:prstDash val="solid"/>
                            <a:miter lim="800000"/>
                          </a:ln>
                          <a:effectLst>
                            <a:innerShdw blurRad="76200">
                              <a:srgbClr val="000000"/>
                            </a:innerShdw>
                          </a:effectLst>
                        </pic:spPr>
                      </pic:pic>
                    </a:graphicData>
                  </a:graphic>
                </wp:anchor>
              </w:drawing>
            </w:r>
            <w:r w:rsidRPr="006766FE">
              <w:rPr>
                <w:sz w:val="20"/>
                <w:szCs w:val="20"/>
              </w:rPr>
              <w:t xml:space="preserve">Die </w:t>
            </w:r>
            <w:r w:rsidR="009138E8">
              <w:rPr>
                <w:sz w:val="20"/>
                <w:szCs w:val="20"/>
              </w:rPr>
              <w:t xml:space="preserve">Lehrkraft gibt die </w:t>
            </w:r>
            <w:r w:rsidRPr="006766FE">
              <w:rPr>
                <w:sz w:val="20"/>
                <w:szCs w:val="20"/>
              </w:rPr>
              <w:t xml:space="preserve">erste </w:t>
            </w:r>
            <w:r w:rsidRPr="006766FE">
              <w:rPr>
                <w:b/>
                <w:sz w:val="20"/>
                <w:szCs w:val="20"/>
              </w:rPr>
              <w:t>Kernidee</w:t>
            </w:r>
            <w:r w:rsidRPr="006766FE">
              <w:rPr>
                <w:sz w:val="20"/>
                <w:szCs w:val="20"/>
              </w:rPr>
              <w:t xml:space="preserve"> </w:t>
            </w:r>
            <w:r w:rsidR="009138E8">
              <w:rPr>
                <w:sz w:val="20"/>
                <w:szCs w:val="20"/>
              </w:rPr>
              <w:t>vor.</w:t>
            </w:r>
            <w:r w:rsidRPr="006766FE">
              <w:rPr>
                <w:sz w:val="20"/>
                <w:szCs w:val="20"/>
              </w:rPr>
              <w:t xml:space="preserve"> </w:t>
            </w:r>
            <w:r w:rsidR="009138E8">
              <w:rPr>
                <w:sz w:val="20"/>
                <w:szCs w:val="20"/>
              </w:rPr>
              <w:t>Sie soll für entsprechende intrinsische Motivation sorgen und an den Fähigkeiten der Schüler ansetzen.</w:t>
            </w:r>
          </w:p>
          <w:p w:rsidR="009138E8" w:rsidRDefault="009138E8" w:rsidP="000A72F0">
            <w:pPr>
              <w:rPr>
                <w:sz w:val="20"/>
                <w:szCs w:val="20"/>
              </w:rPr>
            </w:pPr>
          </w:p>
          <w:p w:rsidR="006C499A" w:rsidRPr="006766FE" w:rsidRDefault="009138E8" w:rsidP="000A72F0">
            <w:pPr>
              <w:rPr>
                <w:sz w:val="20"/>
                <w:szCs w:val="20"/>
              </w:rPr>
            </w:pPr>
            <w:r>
              <w:rPr>
                <w:sz w:val="20"/>
                <w:szCs w:val="20"/>
              </w:rPr>
              <w:t>D</w:t>
            </w:r>
            <w:r w:rsidR="006C499A" w:rsidRPr="006766FE">
              <w:rPr>
                <w:sz w:val="20"/>
                <w:szCs w:val="20"/>
              </w:rPr>
              <w:t xml:space="preserve">er </w:t>
            </w:r>
            <w:r w:rsidR="006C499A" w:rsidRPr="006766FE">
              <w:rPr>
                <w:b/>
                <w:sz w:val="20"/>
                <w:szCs w:val="20"/>
              </w:rPr>
              <w:t>Auftrag</w:t>
            </w:r>
            <w:r w:rsidR="006C499A" w:rsidRPr="006766FE">
              <w:rPr>
                <w:sz w:val="20"/>
                <w:szCs w:val="20"/>
              </w:rPr>
              <w:t xml:space="preserve"> ist mit der Kernidee zu lösen und sollte im Hinblick auf die Didaktik des Lernfelds mit einer realen beruflichen Handlungssituation verknüpft sein.</w:t>
            </w:r>
          </w:p>
          <w:p w:rsidR="009138E8" w:rsidRDefault="009138E8" w:rsidP="000A72F0">
            <w:pPr>
              <w:rPr>
                <w:sz w:val="20"/>
                <w:szCs w:val="20"/>
              </w:rPr>
            </w:pPr>
          </w:p>
          <w:p w:rsidR="0029645C" w:rsidRDefault="006C499A" w:rsidP="000A72F0">
            <w:pPr>
              <w:rPr>
                <w:sz w:val="20"/>
                <w:szCs w:val="20"/>
              </w:rPr>
            </w:pPr>
            <w:r w:rsidRPr="006766FE">
              <w:rPr>
                <w:sz w:val="20"/>
                <w:szCs w:val="20"/>
              </w:rPr>
              <w:t xml:space="preserve">Im </w:t>
            </w:r>
            <w:r w:rsidRPr="006766FE">
              <w:rPr>
                <w:b/>
                <w:sz w:val="20"/>
                <w:szCs w:val="20"/>
              </w:rPr>
              <w:t>Journal</w:t>
            </w:r>
            <w:r w:rsidRPr="006766FE">
              <w:rPr>
                <w:sz w:val="20"/>
                <w:szCs w:val="20"/>
              </w:rPr>
              <w:t xml:space="preserve"> </w:t>
            </w:r>
            <w:r w:rsidR="00B96CD2">
              <w:rPr>
                <w:sz w:val="20"/>
                <w:szCs w:val="20"/>
              </w:rPr>
              <w:t xml:space="preserve">werden die </w:t>
            </w:r>
            <w:r w:rsidR="00B96CD2" w:rsidRPr="006766FE">
              <w:rPr>
                <w:sz w:val="20"/>
                <w:szCs w:val="20"/>
              </w:rPr>
              <w:t>Ideen und Lösungswege</w:t>
            </w:r>
            <w:r w:rsidR="00B96CD2">
              <w:rPr>
                <w:sz w:val="20"/>
                <w:szCs w:val="20"/>
              </w:rPr>
              <w:t xml:space="preserve"> festgehalten. Hierbei äußern sie sich sehr  </w:t>
            </w:r>
            <w:r w:rsidRPr="006766FE">
              <w:rPr>
                <w:sz w:val="20"/>
                <w:szCs w:val="20"/>
              </w:rPr>
              <w:t>persönlich und</w:t>
            </w:r>
            <w:r w:rsidR="00B96CD2">
              <w:rPr>
                <w:sz w:val="20"/>
                <w:szCs w:val="20"/>
              </w:rPr>
              <w:t xml:space="preserve"> verwenden ihre eigene</w:t>
            </w:r>
            <w:r w:rsidRPr="006766FE">
              <w:rPr>
                <w:sz w:val="20"/>
                <w:szCs w:val="20"/>
              </w:rPr>
              <w:t xml:space="preserve"> </w:t>
            </w:r>
            <w:r w:rsidR="00B96CD2" w:rsidRPr="006766FE">
              <w:rPr>
                <w:sz w:val="20"/>
                <w:szCs w:val="20"/>
              </w:rPr>
              <w:t>singuläre</w:t>
            </w:r>
            <w:r w:rsidRPr="006766FE">
              <w:rPr>
                <w:sz w:val="20"/>
                <w:szCs w:val="20"/>
              </w:rPr>
              <w:t xml:space="preserve"> </w:t>
            </w:r>
            <w:r w:rsidR="00B96CD2">
              <w:rPr>
                <w:sz w:val="20"/>
                <w:szCs w:val="20"/>
              </w:rPr>
              <w:t>Sprache.</w:t>
            </w:r>
          </w:p>
          <w:p w:rsidR="00B96CD2" w:rsidRDefault="00B96CD2" w:rsidP="000A72F0">
            <w:pPr>
              <w:rPr>
                <w:sz w:val="20"/>
                <w:szCs w:val="20"/>
              </w:rPr>
            </w:pPr>
          </w:p>
          <w:p w:rsidR="00B96CD2" w:rsidRDefault="00B96CD2" w:rsidP="000A72F0">
            <w:pPr>
              <w:rPr>
                <w:sz w:val="20"/>
                <w:szCs w:val="20"/>
              </w:rPr>
            </w:pPr>
          </w:p>
          <w:p w:rsidR="00B96CD2" w:rsidRDefault="00B96CD2" w:rsidP="000A72F0">
            <w:pPr>
              <w:rPr>
                <w:sz w:val="20"/>
                <w:szCs w:val="20"/>
              </w:rPr>
            </w:pPr>
          </w:p>
          <w:p w:rsidR="00B96CD2" w:rsidRDefault="00B96CD2" w:rsidP="000A72F0">
            <w:pPr>
              <w:rPr>
                <w:sz w:val="20"/>
                <w:u w:val="single"/>
              </w:rPr>
            </w:pPr>
          </w:p>
          <w:p w:rsidR="009138E8" w:rsidRDefault="009138E8" w:rsidP="000A72F0">
            <w:pPr>
              <w:rPr>
                <w:sz w:val="20"/>
                <w:u w:val="single"/>
              </w:rPr>
            </w:pPr>
          </w:p>
          <w:p w:rsidR="009138E8" w:rsidRDefault="009138E8" w:rsidP="000A72F0">
            <w:pPr>
              <w:rPr>
                <w:sz w:val="20"/>
                <w:u w:val="single"/>
              </w:rPr>
            </w:pPr>
          </w:p>
          <w:p w:rsidR="009138E8" w:rsidRDefault="009138E8" w:rsidP="000A72F0">
            <w:pPr>
              <w:rPr>
                <w:sz w:val="20"/>
                <w:u w:val="single"/>
              </w:rPr>
            </w:pPr>
          </w:p>
          <w:p w:rsidR="00341DE0" w:rsidRDefault="00341DE0" w:rsidP="00341DE0">
            <w:pPr>
              <w:pStyle w:val="Beschriftung"/>
            </w:pPr>
            <w:r>
              <w:t xml:space="preserve">Verändert nach: </w:t>
            </w:r>
            <w:proofErr w:type="spellStart"/>
            <w:r>
              <w:t>Gallin</w:t>
            </w:r>
            <w:proofErr w:type="spellEnd"/>
            <w:r>
              <w:t xml:space="preserve">, P.: Instrumente des Dialogischen Lernens. </w:t>
            </w:r>
            <w:r w:rsidRPr="00B2407D">
              <w:t>www.lerndialoge.de</w:t>
            </w:r>
            <w:r>
              <w:t xml:space="preserve"> 2011</w:t>
            </w:r>
          </w:p>
          <w:p w:rsidR="006C499A" w:rsidRPr="00FC23C3" w:rsidRDefault="006C499A" w:rsidP="00341DE0">
            <w:pPr>
              <w:pStyle w:val="Beschriftung"/>
              <w:rPr>
                <w:sz w:val="20"/>
                <w:u w:val="single"/>
              </w:rPr>
            </w:pPr>
            <w:r w:rsidRPr="00FC23C3">
              <w:rPr>
                <w:sz w:val="20"/>
                <w:u w:val="single"/>
              </w:rPr>
              <w:t>Lerntheke</w:t>
            </w:r>
          </w:p>
          <w:p w:rsidR="006C499A" w:rsidRPr="00FC23C3" w:rsidRDefault="006C499A" w:rsidP="000A72F0">
            <w:pPr>
              <w:rPr>
                <w:sz w:val="20"/>
                <w:szCs w:val="20"/>
              </w:rPr>
            </w:pPr>
            <w:r w:rsidRPr="00FC23C3">
              <w:rPr>
                <w:sz w:val="20"/>
                <w:szCs w:val="20"/>
              </w:rPr>
              <w:t>Die Schüler/innen erwerben in Eigenverantwortung Lerninhalte, die sie an der zentral aufgebauten Lerntheke ihren Kenntnissen entsprechend aussuchen, bearbeiten und auswerten. Die Auswahl und die Reihenfolge legen sie selbstständig fest. Ziel ist es, die folgende Kompetenzstufe zu erreichen.</w:t>
            </w:r>
          </w:p>
          <w:p w:rsidR="006C499A" w:rsidRPr="00FC23C3" w:rsidRDefault="006C499A" w:rsidP="000A72F0">
            <w:pPr>
              <w:rPr>
                <w:b/>
                <w:noProof/>
                <w:sz w:val="20"/>
                <w:szCs w:val="20"/>
              </w:rPr>
            </w:pPr>
          </w:p>
          <w:p w:rsidR="006C499A" w:rsidRPr="00FC23C3" w:rsidRDefault="006C499A" w:rsidP="000A72F0">
            <w:pPr>
              <w:pStyle w:val="berschrift2"/>
              <w:rPr>
                <w:noProof/>
                <w:sz w:val="20"/>
                <w:szCs w:val="20"/>
              </w:rPr>
            </w:pPr>
            <w:r w:rsidRPr="00FC23C3">
              <w:rPr>
                <w:rStyle w:val="Fett"/>
                <w:rFonts w:ascii="Arial" w:hAnsi="Arial" w:cs="Arial"/>
                <w:sz w:val="20"/>
                <w:szCs w:val="20"/>
              </w:rPr>
              <w:t>Möglichkeiten individueller Förderung</w:t>
            </w:r>
            <w:r>
              <w:rPr>
                <w:rStyle w:val="Fett"/>
                <w:rFonts w:ascii="Arial" w:hAnsi="Arial" w:cs="Arial"/>
                <w:sz w:val="20"/>
                <w:szCs w:val="20"/>
              </w:rPr>
              <w:t xml:space="preserve"> durch die Lerntheke</w:t>
            </w:r>
          </w:p>
          <w:p w:rsidR="006C499A" w:rsidRPr="00FC23C3" w:rsidRDefault="006C499A" w:rsidP="006C499A">
            <w:pPr>
              <w:numPr>
                <w:ilvl w:val="0"/>
                <w:numId w:val="2"/>
              </w:numPr>
              <w:ind w:left="714" w:hanging="357"/>
              <w:rPr>
                <w:rStyle w:val="Hervorhebung"/>
                <w:i w:val="0"/>
                <w:iCs w:val="0"/>
                <w:sz w:val="20"/>
                <w:szCs w:val="20"/>
              </w:rPr>
            </w:pPr>
            <w:r w:rsidRPr="00FC23C3">
              <w:rPr>
                <w:sz w:val="20"/>
                <w:szCs w:val="20"/>
              </w:rPr>
              <w:t>Inhaltlich unterschiedliche Informationsniveaus (einfachere und schwierigere Aufgaben</w:t>
            </w:r>
            <w:r w:rsidRPr="00FC23C3">
              <w:rPr>
                <w:rStyle w:val="Hervorhebung"/>
                <w:sz w:val="20"/>
                <w:szCs w:val="20"/>
              </w:rPr>
              <w:t>).</w:t>
            </w:r>
          </w:p>
          <w:p w:rsidR="006C499A" w:rsidRPr="00FC23C3" w:rsidRDefault="006C499A" w:rsidP="006C499A">
            <w:pPr>
              <w:numPr>
                <w:ilvl w:val="0"/>
                <w:numId w:val="2"/>
              </w:numPr>
              <w:spacing w:before="100" w:beforeAutospacing="1"/>
              <w:rPr>
                <w:sz w:val="20"/>
                <w:szCs w:val="20"/>
              </w:rPr>
            </w:pPr>
            <w:r w:rsidRPr="00FC23C3">
              <w:rPr>
                <w:sz w:val="20"/>
                <w:szCs w:val="20"/>
              </w:rPr>
              <w:t xml:space="preserve">Unterschiedliche Gestaltung der Aufgabenform unter Berücksichtigung verschiedener Lernkanäle (kognitiv, visuell, akustisch). </w:t>
            </w:r>
          </w:p>
          <w:p w:rsidR="006C499A" w:rsidRPr="00FC23C3" w:rsidRDefault="006C499A" w:rsidP="006C499A">
            <w:pPr>
              <w:numPr>
                <w:ilvl w:val="0"/>
                <w:numId w:val="2"/>
              </w:numPr>
              <w:spacing w:before="100" w:beforeAutospacing="1"/>
              <w:rPr>
                <w:sz w:val="20"/>
                <w:szCs w:val="20"/>
              </w:rPr>
            </w:pPr>
            <w:r w:rsidRPr="00FC23C3">
              <w:rPr>
                <w:sz w:val="20"/>
                <w:szCs w:val="20"/>
              </w:rPr>
              <w:t xml:space="preserve">Möglicher Rückgriff auf niedrigere Niveaustufen bei auftauchenden Problemen. </w:t>
            </w:r>
          </w:p>
          <w:p w:rsidR="006C499A" w:rsidRPr="00FC23C3" w:rsidRDefault="006C499A" w:rsidP="006C499A">
            <w:pPr>
              <w:numPr>
                <w:ilvl w:val="0"/>
                <w:numId w:val="2"/>
              </w:numPr>
              <w:spacing w:before="100" w:beforeAutospacing="1"/>
              <w:rPr>
                <w:sz w:val="20"/>
                <w:szCs w:val="20"/>
              </w:rPr>
            </w:pPr>
            <w:r w:rsidRPr="00FC23C3">
              <w:rPr>
                <w:sz w:val="20"/>
                <w:szCs w:val="20"/>
              </w:rPr>
              <w:t xml:space="preserve">Zugriff auf das gesamte Arbeitsmaterial und damit viele Übungsmöglichkeiten mit Lösungsvorschlägen. </w:t>
            </w:r>
          </w:p>
          <w:p w:rsidR="006C499A" w:rsidRPr="00FC23C3" w:rsidRDefault="006C499A" w:rsidP="006C499A">
            <w:pPr>
              <w:numPr>
                <w:ilvl w:val="0"/>
                <w:numId w:val="2"/>
              </w:numPr>
              <w:spacing w:before="100" w:beforeAutospacing="1"/>
              <w:rPr>
                <w:sz w:val="20"/>
                <w:szCs w:val="20"/>
              </w:rPr>
            </w:pPr>
            <w:r w:rsidRPr="00FC23C3">
              <w:rPr>
                <w:sz w:val="20"/>
                <w:szCs w:val="20"/>
              </w:rPr>
              <w:t xml:space="preserve">Individuelle Beratung seitens der Lehrkraft bei auftauchenden Problemen. </w:t>
            </w:r>
          </w:p>
          <w:p w:rsidR="006C499A" w:rsidRPr="008945B0" w:rsidRDefault="006C499A" w:rsidP="003D6141">
            <w:pPr>
              <w:numPr>
                <w:ilvl w:val="0"/>
                <w:numId w:val="2"/>
              </w:numPr>
              <w:spacing w:before="100" w:beforeAutospacing="1"/>
              <w:rPr>
                <w:sz w:val="20"/>
              </w:rPr>
            </w:pPr>
            <w:r w:rsidRPr="00FC23C3">
              <w:rPr>
                <w:sz w:val="20"/>
                <w:szCs w:val="20"/>
              </w:rPr>
              <w:t>Selbstkontrolle fördert Selbsteinsicht und Verantwortung bzgl. persönlicher Kompetenzen und des Bedarfs ihrer Optimierung.</w:t>
            </w:r>
          </w:p>
        </w:tc>
      </w:tr>
    </w:tbl>
    <w:p w:rsidR="006C499A" w:rsidRDefault="006C499A" w:rsidP="006C499A"/>
    <w:p w:rsidR="0029645C" w:rsidRDefault="0029645C" w:rsidP="006C499A"/>
    <w:tbl>
      <w:tblPr>
        <w:tblW w:w="4864" w:type="pct"/>
        <w:tblBorders>
          <w:top w:val="single" w:sz="8" w:space="0" w:color="auto"/>
          <w:left w:val="single" w:sz="8" w:space="0" w:color="auto"/>
          <w:bottom w:val="single" w:sz="8" w:space="0" w:color="auto"/>
          <w:right w:val="single" w:sz="8" w:space="0" w:color="auto"/>
        </w:tblBorders>
        <w:tblLayout w:type="fixed"/>
        <w:tblCellMar>
          <w:top w:w="34" w:type="dxa"/>
          <w:left w:w="34" w:type="dxa"/>
          <w:bottom w:w="34" w:type="dxa"/>
          <w:right w:w="34" w:type="dxa"/>
        </w:tblCellMar>
        <w:tblLook w:val="00A0" w:firstRow="1" w:lastRow="0" w:firstColumn="1" w:lastColumn="0" w:noHBand="0" w:noVBand="0"/>
      </w:tblPr>
      <w:tblGrid>
        <w:gridCol w:w="463"/>
        <w:gridCol w:w="1414"/>
        <w:gridCol w:w="6150"/>
        <w:gridCol w:w="1414"/>
      </w:tblGrid>
      <w:tr w:rsidR="006C499A" w:rsidRPr="00555738" w:rsidTr="003D6141">
        <w:trPr>
          <w:gridAfter w:val="1"/>
          <w:wAfter w:w="749" w:type="pct"/>
          <w:trHeight w:val="303"/>
        </w:trPr>
        <w:tc>
          <w:tcPr>
            <w:tcW w:w="4251" w:type="pct"/>
            <w:gridSpan w:val="3"/>
            <w:tcBorders>
              <w:top w:val="nil"/>
              <w:left w:val="nil"/>
              <w:bottom w:val="nil"/>
              <w:right w:val="nil"/>
            </w:tcBorders>
          </w:tcPr>
          <w:p w:rsidR="006C499A" w:rsidRPr="005C40E6" w:rsidRDefault="006C499A" w:rsidP="000A72F0">
            <w:pPr>
              <w:spacing w:before="60" w:after="60"/>
              <w:rPr>
                <w:b/>
                <w:sz w:val="20"/>
              </w:rPr>
            </w:pPr>
            <w:r w:rsidRPr="005C40E6">
              <w:rPr>
                <w:b/>
                <w:sz w:val="20"/>
              </w:rPr>
              <w:lastRenderedPageBreak/>
              <w:t>Beziehungsgestaltung:</w:t>
            </w:r>
          </w:p>
        </w:tc>
      </w:tr>
      <w:tr w:rsidR="006C499A" w:rsidRPr="00555738" w:rsidTr="003D6141">
        <w:trPr>
          <w:gridAfter w:val="1"/>
          <w:wAfter w:w="749" w:type="pct"/>
          <w:trHeight w:val="303"/>
        </w:trPr>
        <w:tc>
          <w:tcPr>
            <w:tcW w:w="4251" w:type="pct"/>
            <w:gridSpan w:val="3"/>
            <w:tcBorders>
              <w:top w:val="nil"/>
              <w:left w:val="nil"/>
              <w:bottom w:val="nil"/>
              <w:right w:val="nil"/>
            </w:tcBorders>
          </w:tcPr>
          <w:p w:rsidR="006C499A" w:rsidRDefault="006C499A" w:rsidP="000A72F0">
            <w:pPr>
              <w:rPr>
                <w:sz w:val="20"/>
              </w:rPr>
            </w:pPr>
            <w:r>
              <w:rPr>
                <w:sz w:val="20"/>
              </w:rPr>
              <w:t>Die Lehrenden erzeugen mit dieser Lernsituation Offenheit und eine dialogische Kommunikation, indem sie Freude am menschlichen Kontakt und Offenheit zeigen.</w:t>
            </w:r>
          </w:p>
          <w:p w:rsidR="006C499A" w:rsidRDefault="006C499A" w:rsidP="000A72F0">
            <w:pPr>
              <w:rPr>
                <w:sz w:val="20"/>
              </w:rPr>
            </w:pPr>
            <w:r>
              <w:rPr>
                <w:sz w:val="20"/>
              </w:rPr>
              <w:t>Weitere Handlungselemente:</w:t>
            </w:r>
          </w:p>
          <w:p w:rsidR="006C499A" w:rsidRDefault="006C499A" w:rsidP="006C499A">
            <w:pPr>
              <w:pStyle w:val="Listenabsatz"/>
              <w:numPr>
                <w:ilvl w:val="0"/>
                <w:numId w:val="4"/>
              </w:numPr>
              <w:rPr>
                <w:sz w:val="20"/>
              </w:rPr>
            </w:pPr>
            <w:r>
              <w:rPr>
                <w:sz w:val="20"/>
              </w:rPr>
              <w:t>versuchen, die Perspektive des Lernenden einzunehmen</w:t>
            </w:r>
          </w:p>
          <w:p w:rsidR="006C499A" w:rsidRDefault="006C499A" w:rsidP="006C499A">
            <w:pPr>
              <w:pStyle w:val="Listenabsatz"/>
              <w:numPr>
                <w:ilvl w:val="0"/>
                <w:numId w:val="4"/>
              </w:numPr>
              <w:rPr>
                <w:sz w:val="20"/>
              </w:rPr>
            </w:pPr>
            <w:r>
              <w:rPr>
                <w:sz w:val="20"/>
              </w:rPr>
              <w:t>den Blick vermehrt auf die Stärken des Lernenden richten</w:t>
            </w:r>
          </w:p>
          <w:p w:rsidR="006C499A" w:rsidRDefault="006C499A" w:rsidP="006C499A">
            <w:pPr>
              <w:pStyle w:val="Listenabsatz"/>
              <w:numPr>
                <w:ilvl w:val="0"/>
                <w:numId w:val="4"/>
              </w:numPr>
              <w:rPr>
                <w:sz w:val="20"/>
              </w:rPr>
            </w:pPr>
            <w:r>
              <w:rPr>
                <w:sz w:val="20"/>
              </w:rPr>
              <w:t>Fehler als Lernchance begreifen</w:t>
            </w:r>
          </w:p>
          <w:p w:rsidR="006C499A" w:rsidRDefault="006C499A" w:rsidP="006C499A">
            <w:pPr>
              <w:pStyle w:val="Listenabsatz"/>
              <w:numPr>
                <w:ilvl w:val="0"/>
                <w:numId w:val="4"/>
              </w:numPr>
              <w:rPr>
                <w:sz w:val="20"/>
              </w:rPr>
            </w:pPr>
            <w:r>
              <w:rPr>
                <w:sz w:val="20"/>
              </w:rPr>
              <w:t>Selbst-tätig-Sein der Lernenden als Lernprinzip, gegenseitige Unterstützung und Mitverantwortung der Lernenden etablieren</w:t>
            </w:r>
          </w:p>
          <w:p w:rsidR="006C499A" w:rsidRPr="00DE0008" w:rsidRDefault="006C499A" w:rsidP="000A72F0">
            <w:pPr>
              <w:rPr>
                <w:sz w:val="20"/>
              </w:rPr>
            </w:pPr>
          </w:p>
          <w:p w:rsidR="006C499A" w:rsidRDefault="006C499A" w:rsidP="000A72F0">
            <w:pPr>
              <w:rPr>
                <w:sz w:val="20"/>
              </w:rPr>
            </w:pPr>
            <w:r>
              <w:rPr>
                <w:sz w:val="20"/>
              </w:rPr>
              <w:t>Das etablierte Verfahren für die Rückmeldungen folgt dabei diesen Punkten:</w:t>
            </w:r>
          </w:p>
          <w:p w:rsidR="006C499A" w:rsidRPr="009B4B1C" w:rsidRDefault="006C499A" w:rsidP="000A72F0">
            <w:pPr>
              <w:rPr>
                <w:sz w:val="20"/>
              </w:rPr>
            </w:pPr>
            <w:r>
              <w:rPr>
                <w:noProof/>
                <w:sz w:val="20"/>
                <w:lang w:eastAsia="de-DE"/>
              </w:rPr>
              <w:drawing>
                <wp:inline distT="0" distB="0" distL="0" distR="0" wp14:anchorId="3E10064D" wp14:editId="07CE99D5">
                  <wp:extent cx="2145665" cy="1341120"/>
                  <wp:effectExtent l="0" t="0" r="698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45665" cy="1341120"/>
                          </a:xfrm>
                          <a:prstGeom prst="rect">
                            <a:avLst/>
                          </a:prstGeom>
                          <a:noFill/>
                        </pic:spPr>
                      </pic:pic>
                    </a:graphicData>
                  </a:graphic>
                </wp:inline>
              </w:drawing>
            </w:r>
          </w:p>
        </w:tc>
      </w:tr>
      <w:tr w:rsidR="006C499A" w:rsidRPr="00555738" w:rsidTr="003D6141">
        <w:trPr>
          <w:gridAfter w:val="1"/>
          <w:wAfter w:w="749" w:type="pct"/>
          <w:trHeight w:val="303"/>
        </w:trPr>
        <w:tc>
          <w:tcPr>
            <w:tcW w:w="4251" w:type="pct"/>
            <w:gridSpan w:val="3"/>
            <w:tcBorders>
              <w:top w:val="nil"/>
              <w:left w:val="nil"/>
              <w:bottom w:val="nil"/>
              <w:right w:val="nil"/>
            </w:tcBorders>
          </w:tcPr>
          <w:p w:rsidR="006C499A" w:rsidRPr="009B4B1C" w:rsidRDefault="006C499A" w:rsidP="000A23B9">
            <w:pPr>
              <w:pStyle w:val="Beschriftung"/>
              <w:rPr>
                <w:color w:val="auto"/>
                <w:sz w:val="20"/>
              </w:rPr>
            </w:pPr>
            <w:proofErr w:type="spellStart"/>
            <w:r>
              <w:t>Gallin</w:t>
            </w:r>
            <w:proofErr w:type="spellEnd"/>
            <w:r>
              <w:t>, Peter / Ruf</w:t>
            </w:r>
            <w:bookmarkStart w:id="0" w:name="_GoBack"/>
            <w:bookmarkEnd w:id="0"/>
            <w:r>
              <w:t xml:space="preserve">, Urs: </w:t>
            </w:r>
            <w:hyperlink r:id="rId10" w:history="1">
              <w:r w:rsidRPr="000A3947">
                <w:rPr>
                  <w:rStyle w:val="Hyperlink"/>
                </w:rPr>
                <w:t>www.lerndialoge.ch</w:t>
              </w:r>
            </w:hyperlink>
            <w:r>
              <w:t xml:space="preserve"> 2011</w:t>
            </w:r>
          </w:p>
        </w:tc>
      </w:tr>
      <w:tr w:rsidR="006C499A" w:rsidRPr="00555738" w:rsidTr="003D6141">
        <w:trPr>
          <w:gridAfter w:val="1"/>
          <w:wAfter w:w="749" w:type="pct"/>
          <w:trHeight w:val="303"/>
        </w:trPr>
        <w:tc>
          <w:tcPr>
            <w:tcW w:w="4251" w:type="pct"/>
            <w:gridSpan w:val="3"/>
            <w:tcBorders>
              <w:top w:val="nil"/>
              <w:left w:val="nil"/>
              <w:bottom w:val="nil"/>
              <w:right w:val="nil"/>
            </w:tcBorders>
            <w:shd w:val="clear" w:color="auto" w:fill="D9D9D9" w:themeFill="background1" w:themeFillShade="D9"/>
          </w:tcPr>
          <w:p w:rsidR="006C499A" w:rsidRPr="008945B0" w:rsidRDefault="006C499A" w:rsidP="000A72F0">
            <w:pPr>
              <w:spacing w:before="120" w:after="120"/>
              <w:rPr>
                <w:b/>
                <w:sz w:val="22"/>
              </w:rPr>
            </w:pPr>
            <w:r>
              <w:rPr>
                <w:b/>
                <w:sz w:val="22"/>
              </w:rPr>
              <w:t>Erweiterung der Handlungskompetenz durch dieses</w:t>
            </w:r>
            <w:r w:rsidRPr="00F740C9">
              <w:rPr>
                <w:b/>
                <w:sz w:val="22"/>
              </w:rPr>
              <w:t xml:space="preserve"> Unterrichts</w:t>
            </w:r>
            <w:r>
              <w:rPr>
                <w:b/>
                <w:sz w:val="22"/>
              </w:rPr>
              <w:t>arrangement</w:t>
            </w:r>
          </w:p>
        </w:tc>
      </w:tr>
      <w:tr w:rsidR="006C499A" w:rsidRPr="00555738" w:rsidTr="003D6141">
        <w:trPr>
          <w:trHeight w:val="691"/>
        </w:trPr>
        <w:tc>
          <w:tcPr>
            <w:tcW w:w="994" w:type="pct"/>
            <w:gridSpan w:val="2"/>
            <w:tcBorders>
              <w:top w:val="nil"/>
              <w:left w:val="nil"/>
              <w:bottom w:val="nil"/>
              <w:right w:val="nil"/>
            </w:tcBorders>
          </w:tcPr>
          <w:p w:rsidR="006C499A" w:rsidRDefault="006C499A" w:rsidP="000A72F0">
            <w:pPr>
              <w:rPr>
                <w:b/>
                <w:sz w:val="20"/>
              </w:rPr>
            </w:pPr>
            <w:r>
              <w:rPr>
                <w:b/>
                <w:sz w:val="20"/>
              </w:rPr>
              <w:t>Vorstruktur:</w:t>
            </w:r>
          </w:p>
        </w:tc>
        <w:tc>
          <w:tcPr>
            <w:tcW w:w="4006" w:type="pct"/>
            <w:gridSpan w:val="2"/>
            <w:tcBorders>
              <w:top w:val="nil"/>
              <w:left w:val="nil"/>
              <w:bottom w:val="nil"/>
              <w:right w:val="nil"/>
            </w:tcBorders>
          </w:tcPr>
          <w:p w:rsidR="006C499A" w:rsidRPr="00B41196" w:rsidRDefault="006C499A" w:rsidP="000A72F0">
            <w:pPr>
              <w:rPr>
                <w:sz w:val="20"/>
              </w:rPr>
            </w:pPr>
            <w:r>
              <w:rPr>
                <w:sz w:val="20"/>
              </w:rPr>
              <w:t xml:space="preserve">Der/Die Lernende kennt die Grundlagen der pneumatischen Steuerungstechnik, kann bereits einfache Steuerungen planen, auch </w:t>
            </w:r>
            <w:r w:rsidRPr="00DE0008">
              <w:rPr>
                <w:sz w:val="20"/>
              </w:rPr>
              <w:t>unter Verwendung</w:t>
            </w:r>
            <w:r>
              <w:rPr>
                <w:sz w:val="20"/>
              </w:rPr>
              <w:t xml:space="preserve"> von</w:t>
            </w:r>
            <w:r w:rsidRPr="00DE0008">
              <w:rPr>
                <w:sz w:val="20"/>
              </w:rPr>
              <w:t xml:space="preserve"> Lernprogrammen</w:t>
            </w:r>
            <w:r>
              <w:rPr>
                <w:sz w:val="20"/>
              </w:rPr>
              <w:t xml:space="preserve"> und die entsprechenden Bauteile auswählen.</w:t>
            </w:r>
          </w:p>
        </w:tc>
      </w:tr>
      <w:tr w:rsidR="006C499A" w:rsidRPr="00555738" w:rsidTr="003D6141">
        <w:trPr>
          <w:gridAfter w:val="1"/>
          <w:wAfter w:w="749" w:type="pct"/>
          <w:trHeight w:val="241"/>
        </w:trPr>
        <w:tc>
          <w:tcPr>
            <w:tcW w:w="245" w:type="pct"/>
            <w:tcBorders>
              <w:top w:val="nil"/>
              <w:left w:val="nil"/>
              <w:bottom w:val="nil"/>
              <w:right w:val="nil"/>
            </w:tcBorders>
          </w:tcPr>
          <w:p w:rsidR="006C499A" w:rsidRDefault="006C499A" w:rsidP="000A72F0">
            <w:pPr>
              <w:rPr>
                <w:b/>
                <w:sz w:val="20"/>
              </w:rPr>
            </w:pPr>
          </w:p>
        </w:tc>
        <w:tc>
          <w:tcPr>
            <w:tcW w:w="4006" w:type="pct"/>
            <w:gridSpan w:val="2"/>
            <w:tcBorders>
              <w:top w:val="nil"/>
              <w:left w:val="nil"/>
              <w:bottom w:val="nil"/>
              <w:right w:val="nil"/>
            </w:tcBorders>
          </w:tcPr>
          <w:p w:rsidR="006C499A" w:rsidRPr="00B41196" w:rsidRDefault="006C499A" w:rsidP="000A72F0">
            <w:pPr>
              <w:rPr>
                <w:sz w:val="20"/>
              </w:rPr>
            </w:pPr>
          </w:p>
        </w:tc>
      </w:tr>
      <w:tr w:rsidR="006C499A" w:rsidRPr="00555738" w:rsidTr="003D6141">
        <w:trPr>
          <w:trHeight w:val="1157"/>
        </w:trPr>
        <w:tc>
          <w:tcPr>
            <w:tcW w:w="994" w:type="pct"/>
            <w:gridSpan w:val="2"/>
            <w:tcBorders>
              <w:top w:val="nil"/>
              <w:left w:val="nil"/>
              <w:bottom w:val="nil"/>
              <w:right w:val="nil"/>
            </w:tcBorders>
          </w:tcPr>
          <w:p w:rsidR="006C499A" w:rsidRDefault="006C499A" w:rsidP="000A72F0">
            <w:pPr>
              <w:ind w:right="-1026"/>
              <w:rPr>
                <w:b/>
                <w:sz w:val="20"/>
                <w:szCs w:val="20"/>
              </w:rPr>
            </w:pPr>
            <w:r w:rsidRPr="006778FA">
              <w:rPr>
                <w:b/>
                <w:sz w:val="20"/>
                <w:szCs w:val="20"/>
              </w:rPr>
              <w:t>Fachlich</w:t>
            </w:r>
            <w:r>
              <w:rPr>
                <w:b/>
                <w:sz w:val="20"/>
                <w:szCs w:val="20"/>
              </w:rPr>
              <w:t xml:space="preserve">e </w:t>
            </w:r>
          </w:p>
          <w:p w:rsidR="006C499A" w:rsidRPr="006778FA" w:rsidRDefault="006C499A" w:rsidP="000A72F0">
            <w:pPr>
              <w:ind w:right="-1026"/>
              <w:rPr>
                <w:b/>
                <w:sz w:val="20"/>
                <w:szCs w:val="20"/>
              </w:rPr>
            </w:pPr>
            <w:r>
              <w:rPr>
                <w:b/>
                <w:sz w:val="20"/>
                <w:szCs w:val="20"/>
              </w:rPr>
              <w:t>Kompetenzen</w:t>
            </w:r>
            <w:r w:rsidRPr="006778FA">
              <w:rPr>
                <w:b/>
                <w:sz w:val="20"/>
                <w:szCs w:val="20"/>
              </w:rPr>
              <w:t>:</w:t>
            </w:r>
          </w:p>
        </w:tc>
        <w:tc>
          <w:tcPr>
            <w:tcW w:w="4006" w:type="pct"/>
            <w:gridSpan w:val="2"/>
            <w:tcBorders>
              <w:top w:val="nil"/>
              <w:left w:val="nil"/>
              <w:bottom w:val="nil"/>
              <w:right w:val="nil"/>
            </w:tcBorders>
          </w:tcPr>
          <w:p w:rsidR="006C499A" w:rsidRPr="003761D0" w:rsidRDefault="006C499A" w:rsidP="006C499A">
            <w:pPr>
              <w:pStyle w:val="Listenabsatz"/>
              <w:numPr>
                <w:ilvl w:val="0"/>
                <w:numId w:val="1"/>
              </w:numPr>
              <w:ind w:left="251" w:right="-1026" w:hanging="251"/>
              <w:rPr>
                <w:sz w:val="20"/>
                <w:szCs w:val="20"/>
              </w:rPr>
            </w:pPr>
            <w:r w:rsidRPr="003761D0">
              <w:rPr>
                <w:sz w:val="20"/>
                <w:szCs w:val="20"/>
              </w:rPr>
              <w:t>Charakter und Grundprinzip einer Ablaufsteuerung beschreiben können</w:t>
            </w:r>
          </w:p>
          <w:p w:rsidR="006C499A" w:rsidRPr="003761D0" w:rsidRDefault="006C499A" w:rsidP="006C499A">
            <w:pPr>
              <w:pStyle w:val="Listenabsatz"/>
              <w:numPr>
                <w:ilvl w:val="0"/>
                <w:numId w:val="1"/>
              </w:numPr>
              <w:ind w:left="251" w:right="-1026" w:hanging="251"/>
              <w:rPr>
                <w:sz w:val="20"/>
                <w:szCs w:val="20"/>
              </w:rPr>
            </w:pPr>
            <w:r w:rsidRPr="003761D0">
              <w:rPr>
                <w:sz w:val="20"/>
                <w:szCs w:val="20"/>
              </w:rPr>
              <w:t>Entsprechende Informationen aus Herstellerunterlagen entnehmen können</w:t>
            </w:r>
          </w:p>
          <w:p w:rsidR="006C499A" w:rsidRPr="003761D0" w:rsidRDefault="006C499A" w:rsidP="006C499A">
            <w:pPr>
              <w:pStyle w:val="Listenabsatz"/>
              <w:numPr>
                <w:ilvl w:val="0"/>
                <w:numId w:val="1"/>
              </w:numPr>
              <w:ind w:left="251" w:right="-1026" w:hanging="251"/>
              <w:rPr>
                <w:sz w:val="20"/>
                <w:szCs w:val="20"/>
              </w:rPr>
            </w:pPr>
            <w:r>
              <w:rPr>
                <w:sz w:val="20"/>
                <w:szCs w:val="20"/>
              </w:rPr>
              <w:t>Eine Ablaufsteuerung</w:t>
            </w:r>
            <w:r w:rsidRPr="003761D0">
              <w:rPr>
                <w:sz w:val="20"/>
                <w:szCs w:val="20"/>
              </w:rPr>
              <w:t xml:space="preserve"> mit Hilfe der Anwendersoftware FluidSim entwerfen können</w:t>
            </w:r>
          </w:p>
          <w:p w:rsidR="006C499A" w:rsidRDefault="006C499A" w:rsidP="006C499A">
            <w:pPr>
              <w:pStyle w:val="Listenabsatz"/>
              <w:numPr>
                <w:ilvl w:val="0"/>
                <w:numId w:val="1"/>
              </w:numPr>
              <w:ind w:left="251" w:right="-1026" w:hanging="251"/>
              <w:rPr>
                <w:sz w:val="20"/>
                <w:szCs w:val="20"/>
              </w:rPr>
            </w:pPr>
            <w:r w:rsidRPr="003761D0">
              <w:rPr>
                <w:sz w:val="20"/>
                <w:szCs w:val="20"/>
              </w:rPr>
              <w:t>Die Steuerung in einem GRAFCET-Plan abbilden können</w:t>
            </w:r>
          </w:p>
          <w:p w:rsidR="006C499A" w:rsidRPr="00556A9B" w:rsidRDefault="006C499A" w:rsidP="006C499A">
            <w:pPr>
              <w:pStyle w:val="Listenabsatz"/>
              <w:numPr>
                <w:ilvl w:val="0"/>
                <w:numId w:val="1"/>
              </w:numPr>
              <w:ind w:left="251" w:right="-1026" w:hanging="251"/>
              <w:rPr>
                <w:sz w:val="20"/>
                <w:szCs w:val="20"/>
              </w:rPr>
            </w:pPr>
            <w:r w:rsidRPr="003761D0">
              <w:rPr>
                <w:sz w:val="20"/>
                <w:szCs w:val="20"/>
              </w:rPr>
              <w:t xml:space="preserve">Die Steuerung aufbauen und in </w:t>
            </w:r>
            <w:proofErr w:type="spellStart"/>
            <w:r w:rsidRPr="003761D0">
              <w:rPr>
                <w:sz w:val="20"/>
                <w:szCs w:val="20"/>
              </w:rPr>
              <w:t>betrieb</w:t>
            </w:r>
            <w:proofErr w:type="spellEnd"/>
            <w:r w:rsidRPr="003761D0">
              <w:rPr>
                <w:sz w:val="20"/>
                <w:szCs w:val="20"/>
              </w:rPr>
              <w:t xml:space="preserve"> nehmen können</w:t>
            </w:r>
          </w:p>
        </w:tc>
      </w:tr>
      <w:tr w:rsidR="006C499A" w:rsidRPr="00555738" w:rsidTr="003D6141">
        <w:trPr>
          <w:trHeight w:val="2420"/>
        </w:trPr>
        <w:tc>
          <w:tcPr>
            <w:tcW w:w="994" w:type="pct"/>
            <w:gridSpan w:val="2"/>
            <w:tcBorders>
              <w:top w:val="nil"/>
              <w:left w:val="nil"/>
              <w:bottom w:val="nil"/>
              <w:right w:val="nil"/>
            </w:tcBorders>
          </w:tcPr>
          <w:p w:rsidR="006C499A" w:rsidRDefault="006C499A" w:rsidP="000A72F0">
            <w:pPr>
              <w:ind w:right="-1026"/>
              <w:rPr>
                <w:b/>
                <w:sz w:val="20"/>
                <w:szCs w:val="20"/>
              </w:rPr>
            </w:pPr>
            <w:r>
              <w:rPr>
                <w:b/>
                <w:sz w:val="20"/>
                <w:szCs w:val="20"/>
              </w:rPr>
              <w:t xml:space="preserve">Überfachliche </w:t>
            </w:r>
          </w:p>
          <w:p w:rsidR="006C499A" w:rsidRPr="006778FA" w:rsidRDefault="006C499A" w:rsidP="000A72F0">
            <w:pPr>
              <w:ind w:right="-1026"/>
              <w:rPr>
                <w:b/>
                <w:sz w:val="20"/>
                <w:szCs w:val="20"/>
              </w:rPr>
            </w:pPr>
            <w:r>
              <w:rPr>
                <w:b/>
                <w:sz w:val="20"/>
                <w:szCs w:val="20"/>
              </w:rPr>
              <w:t>Kompetenzen</w:t>
            </w:r>
            <w:r w:rsidRPr="006778FA">
              <w:rPr>
                <w:b/>
                <w:sz w:val="20"/>
                <w:szCs w:val="20"/>
              </w:rPr>
              <w:t>:</w:t>
            </w:r>
          </w:p>
        </w:tc>
        <w:tc>
          <w:tcPr>
            <w:tcW w:w="4006" w:type="pct"/>
            <w:gridSpan w:val="2"/>
            <w:tcBorders>
              <w:top w:val="nil"/>
              <w:left w:val="nil"/>
              <w:bottom w:val="nil"/>
              <w:right w:val="nil"/>
            </w:tcBorders>
          </w:tcPr>
          <w:p w:rsidR="006C499A" w:rsidRDefault="00810BA6" w:rsidP="000A72F0">
            <w:pPr>
              <w:ind w:right="-1026"/>
              <w:rPr>
                <w:sz w:val="20"/>
                <w:szCs w:val="20"/>
              </w:rPr>
            </w:pPr>
            <w:r>
              <w:rPr>
                <w:sz w:val="20"/>
                <w:szCs w:val="20"/>
              </w:rPr>
              <w:t>Das Dialogische Lernen hat Auswirkungen auf die Projektkompetenz.</w:t>
            </w:r>
          </w:p>
          <w:p w:rsidR="00810BA6" w:rsidRDefault="00810BA6" w:rsidP="000A72F0">
            <w:pPr>
              <w:ind w:right="-1026"/>
              <w:rPr>
                <w:sz w:val="20"/>
                <w:szCs w:val="20"/>
              </w:rPr>
            </w:pPr>
            <w:r>
              <w:rPr>
                <w:sz w:val="20"/>
                <w:szCs w:val="20"/>
              </w:rPr>
              <w:t>So werden hier:</w:t>
            </w:r>
          </w:p>
          <w:p w:rsidR="00810BA6" w:rsidRPr="00810BA6" w:rsidRDefault="00810BA6" w:rsidP="00810BA6">
            <w:pPr>
              <w:pStyle w:val="Listenabsatz"/>
              <w:numPr>
                <w:ilvl w:val="0"/>
                <w:numId w:val="6"/>
              </w:numPr>
              <w:ind w:left="251" w:right="-1026" w:hanging="251"/>
              <w:rPr>
                <w:sz w:val="20"/>
                <w:szCs w:val="20"/>
              </w:rPr>
            </w:pPr>
            <w:r w:rsidRPr="00810BA6">
              <w:rPr>
                <w:sz w:val="20"/>
                <w:szCs w:val="20"/>
              </w:rPr>
              <w:t>die Lernkompetenz</w:t>
            </w:r>
          </w:p>
          <w:p w:rsidR="00810BA6" w:rsidRPr="00810BA6" w:rsidRDefault="00810BA6" w:rsidP="00810BA6">
            <w:pPr>
              <w:pStyle w:val="Listenabsatz"/>
              <w:numPr>
                <w:ilvl w:val="0"/>
                <w:numId w:val="6"/>
              </w:numPr>
              <w:ind w:left="251" w:right="-1026" w:hanging="251"/>
              <w:rPr>
                <w:sz w:val="20"/>
                <w:szCs w:val="20"/>
              </w:rPr>
            </w:pPr>
            <w:r>
              <w:rPr>
                <w:sz w:val="20"/>
                <w:szCs w:val="20"/>
              </w:rPr>
              <w:t>d</w:t>
            </w:r>
            <w:r w:rsidRPr="00810BA6">
              <w:rPr>
                <w:sz w:val="20"/>
                <w:szCs w:val="20"/>
              </w:rPr>
              <w:t>as strukturierte Denken</w:t>
            </w:r>
          </w:p>
          <w:p w:rsidR="00810BA6" w:rsidRPr="00810BA6" w:rsidRDefault="00810BA6" w:rsidP="00810BA6">
            <w:pPr>
              <w:pStyle w:val="Listenabsatz"/>
              <w:numPr>
                <w:ilvl w:val="0"/>
                <w:numId w:val="6"/>
              </w:numPr>
              <w:ind w:left="251" w:right="-1026" w:hanging="251"/>
              <w:rPr>
                <w:sz w:val="20"/>
                <w:szCs w:val="20"/>
              </w:rPr>
            </w:pPr>
            <w:r>
              <w:rPr>
                <w:sz w:val="20"/>
                <w:szCs w:val="20"/>
              </w:rPr>
              <w:t>d</w:t>
            </w:r>
            <w:r w:rsidRPr="00810BA6">
              <w:rPr>
                <w:sz w:val="20"/>
                <w:szCs w:val="20"/>
              </w:rPr>
              <w:t>ie Lösungsfindung</w:t>
            </w:r>
          </w:p>
          <w:p w:rsidR="00810BA6" w:rsidRPr="00810BA6" w:rsidRDefault="00810BA6" w:rsidP="00810BA6">
            <w:pPr>
              <w:pStyle w:val="Listenabsatz"/>
              <w:numPr>
                <w:ilvl w:val="0"/>
                <w:numId w:val="6"/>
              </w:numPr>
              <w:ind w:left="251" w:right="-1026" w:hanging="251"/>
              <w:rPr>
                <w:sz w:val="20"/>
                <w:szCs w:val="20"/>
              </w:rPr>
            </w:pPr>
            <w:r>
              <w:rPr>
                <w:sz w:val="20"/>
                <w:szCs w:val="20"/>
              </w:rPr>
              <w:t>d</w:t>
            </w:r>
            <w:r w:rsidRPr="00810BA6">
              <w:rPr>
                <w:sz w:val="20"/>
                <w:szCs w:val="20"/>
              </w:rPr>
              <w:t>as Argumentieren</w:t>
            </w:r>
          </w:p>
          <w:p w:rsidR="00810BA6" w:rsidRPr="00810BA6" w:rsidRDefault="00810BA6" w:rsidP="00810BA6">
            <w:pPr>
              <w:pStyle w:val="Listenabsatz"/>
              <w:numPr>
                <w:ilvl w:val="0"/>
                <w:numId w:val="6"/>
              </w:numPr>
              <w:ind w:left="251" w:right="-1026" w:hanging="251"/>
              <w:rPr>
                <w:sz w:val="20"/>
                <w:szCs w:val="20"/>
              </w:rPr>
            </w:pPr>
            <w:r>
              <w:rPr>
                <w:sz w:val="20"/>
                <w:szCs w:val="20"/>
              </w:rPr>
              <w:t>d</w:t>
            </w:r>
            <w:r w:rsidRPr="00810BA6">
              <w:rPr>
                <w:sz w:val="20"/>
                <w:szCs w:val="20"/>
              </w:rPr>
              <w:t>ie Kommunikationsfähigkeit</w:t>
            </w:r>
          </w:p>
          <w:p w:rsidR="00810BA6" w:rsidRPr="00810BA6" w:rsidRDefault="00810BA6" w:rsidP="00810BA6">
            <w:pPr>
              <w:pStyle w:val="Listenabsatz"/>
              <w:numPr>
                <w:ilvl w:val="0"/>
                <w:numId w:val="6"/>
              </w:numPr>
              <w:ind w:left="251" w:right="-1026" w:hanging="251"/>
              <w:rPr>
                <w:sz w:val="20"/>
                <w:szCs w:val="20"/>
              </w:rPr>
            </w:pPr>
            <w:r>
              <w:rPr>
                <w:sz w:val="20"/>
                <w:szCs w:val="20"/>
              </w:rPr>
              <w:t>d</w:t>
            </w:r>
            <w:r w:rsidRPr="00810BA6">
              <w:rPr>
                <w:sz w:val="20"/>
                <w:szCs w:val="20"/>
              </w:rPr>
              <w:t>ie Beteiligung</w:t>
            </w:r>
            <w:r>
              <w:rPr>
                <w:sz w:val="20"/>
                <w:szCs w:val="20"/>
              </w:rPr>
              <w:t xml:space="preserve"> am Lern</w:t>
            </w:r>
            <w:r w:rsidR="003D6141">
              <w:rPr>
                <w:sz w:val="20"/>
                <w:szCs w:val="20"/>
              </w:rPr>
              <w:t>prozess</w:t>
            </w:r>
            <w:r w:rsidRPr="00810BA6">
              <w:rPr>
                <w:sz w:val="20"/>
                <w:szCs w:val="20"/>
              </w:rPr>
              <w:t xml:space="preserve"> </w:t>
            </w:r>
          </w:p>
          <w:p w:rsidR="00810BA6" w:rsidRPr="00810BA6" w:rsidRDefault="003D6141" w:rsidP="00810BA6">
            <w:pPr>
              <w:pStyle w:val="Listenabsatz"/>
              <w:numPr>
                <w:ilvl w:val="0"/>
                <w:numId w:val="6"/>
              </w:numPr>
              <w:ind w:left="251" w:right="-1026" w:hanging="251"/>
              <w:rPr>
                <w:sz w:val="20"/>
                <w:szCs w:val="20"/>
              </w:rPr>
            </w:pPr>
            <w:r>
              <w:rPr>
                <w:sz w:val="20"/>
                <w:szCs w:val="20"/>
              </w:rPr>
              <w:t>d</w:t>
            </w:r>
            <w:r w:rsidR="00810BA6" w:rsidRPr="00810BA6">
              <w:rPr>
                <w:sz w:val="20"/>
                <w:szCs w:val="20"/>
              </w:rPr>
              <w:t>ie Motivation</w:t>
            </w:r>
          </w:p>
          <w:p w:rsidR="006C499A" w:rsidRPr="003761D0" w:rsidRDefault="003D6141" w:rsidP="003D6141">
            <w:pPr>
              <w:pStyle w:val="Listenabsatz"/>
              <w:numPr>
                <w:ilvl w:val="0"/>
                <w:numId w:val="6"/>
              </w:numPr>
              <w:ind w:left="251" w:right="-1026" w:hanging="251"/>
              <w:rPr>
                <w:sz w:val="20"/>
                <w:szCs w:val="20"/>
              </w:rPr>
            </w:pPr>
            <w:r>
              <w:rPr>
                <w:sz w:val="20"/>
                <w:szCs w:val="20"/>
              </w:rPr>
              <w:t>d</w:t>
            </w:r>
            <w:r w:rsidR="00810BA6" w:rsidRPr="00810BA6">
              <w:rPr>
                <w:sz w:val="20"/>
                <w:szCs w:val="20"/>
              </w:rPr>
              <w:t xml:space="preserve">ie Kreativität </w:t>
            </w:r>
            <w:r>
              <w:rPr>
                <w:sz w:val="20"/>
                <w:szCs w:val="20"/>
              </w:rPr>
              <w:t xml:space="preserve">                                                                                     </w:t>
            </w:r>
            <w:r w:rsidR="00810BA6">
              <w:rPr>
                <w:sz w:val="20"/>
                <w:szCs w:val="20"/>
              </w:rPr>
              <w:t>… gefördert.</w:t>
            </w:r>
          </w:p>
        </w:tc>
      </w:tr>
      <w:tr w:rsidR="003D6141" w:rsidRPr="00555738" w:rsidTr="00577AAD">
        <w:trPr>
          <w:gridAfter w:val="1"/>
          <w:wAfter w:w="749" w:type="pct"/>
          <w:trHeight w:val="241"/>
        </w:trPr>
        <w:tc>
          <w:tcPr>
            <w:tcW w:w="245" w:type="pct"/>
            <w:tcBorders>
              <w:top w:val="nil"/>
              <w:left w:val="nil"/>
              <w:bottom w:val="nil"/>
              <w:right w:val="nil"/>
            </w:tcBorders>
          </w:tcPr>
          <w:p w:rsidR="003D6141" w:rsidRDefault="003D6141" w:rsidP="00577AAD">
            <w:pPr>
              <w:rPr>
                <w:b/>
                <w:sz w:val="20"/>
              </w:rPr>
            </w:pPr>
          </w:p>
        </w:tc>
        <w:tc>
          <w:tcPr>
            <w:tcW w:w="4006" w:type="pct"/>
            <w:gridSpan w:val="2"/>
            <w:tcBorders>
              <w:top w:val="nil"/>
              <w:left w:val="nil"/>
              <w:bottom w:val="nil"/>
              <w:right w:val="nil"/>
            </w:tcBorders>
          </w:tcPr>
          <w:p w:rsidR="003D6141" w:rsidRPr="00B41196" w:rsidRDefault="003D6141" w:rsidP="00577AAD">
            <w:pPr>
              <w:rPr>
                <w:sz w:val="20"/>
              </w:rPr>
            </w:pPr>
          </w:p>
        </w:tc>
      </w:tr>
      <w:tr w:rsidR="006C499A" w:rsidRPr="008945B0" w:rsidTr="003D6141">
        <w:trPr>
          <w:trHeight w:val="303"/>
        </w:trPr>
        <w:tc>
          <w:tcPr>
            <w:tcW w:w="5000" w:type="pct"/>
            <w:gridSpan w:val="4"/>
            <w:tcBorders>
              <w:top w:val="nil"/>
              <w:left w:val="nil"/>
              <w:bottom w:val="nil"/>
              <w:right w:val="nil"/>
            </w:tcBorders>
            <w:shd w:val="clear" w:color="auto" w:fill="D9D9D9" w:themeFill="background1" w:themeFillShade="D9"/>
          </w:tcPr>
          <w:p w:rsidR="006C499A" w:rsidRPr="008945B0" w:rsidRDefault="006C499A" w:rsidP="000A72F0">
            <w:pPr>
              <w:spacing w:before="120" w:after="120"/>
              <w:rPr>
                <w:b/>
                <w:sz w:val="22"/>
              </w:rPr>
            </w:pPr>
            <w:r>
              <w:br w:type="page"/>
            </w:r>
            <w:r>
              <w:rPr>
                <w:b/>
                <w:sz w:val="22"/>
              </w:rPr>
              <w:t>Hinweise zur Umsetzung</w:t>
            </w:r>
          </w:p>
        </w:tc>
      </w:tr>
      <w:tr w:rsidR="006C499A" w:rsidRPr="00B41196" w:rsidTr="0029645C">
        <w:trPr>
          <w:trHeight w:val="1876"/>
        </w:trPr>
        <w:tc>
          <w:tcPr>
            <w:tcW w:w="5000" w:type="pct"/>
            <w:gridSpan w:val="4"/>
            <w:tcBorders>
              <w:top w:val="nil"/>
              <w:left w:val="nil"/>
              <w:bottom w:val="nil"/>
              <w:right w:val="nil"/>
            </w:tcBorders>
          </w:tcPr>
          <w:p w:rsidR="006C499A" w:rsidRPr="00FC23C3" w:rsidRDefault="006C499A" w:rsidP="000A72F0">
            <w:pPr>
              <w:rPr>
                <w:sz w:val="20"/>
              </w:rPr>
            </w:pPr>
            <w:r w:rsidRPr="00FC23C3">
              <w:rPr>
                <w:sz w:val="20"/>
              </w:rPr>
              <w:t>Die Lernsituation stammt aus den Lernfeldern 3 und 6. Inhaltlich orientiert sich diese zwar an dem Bildungsplan aus dem Jahre 2004, allerdings wird dem hohen Entwicklungstempo in der Steuerungstechnik insofern Rechnung getragen, dass bereits im Lernfeld 3 die Elektropneumatik anhand einfacher Aufgabenstellungen eingeführt wird. Somit wird hier gängige Praxis an den Berufsschulen abgebildet, welche sich auch durch die Anforderungen der Abschlussprüfung Teil 1 begründet.</w:t>
            </w:r>
          </w:p>
          <w:p w:rsidR="006C499A" w:rsidRPr="00B41196" w:rsidRDefault="006C499A" w:rsidP="003D6141">
            <w:pPr>
              <w:rPr>
                <w:sz w:val="20"/>
              </w:rPr>
            </w:pPr>
            <w:r w:rsidRPr="00FC23C3">
              <w:rPr>
                <w:sz w:val="20"/>
              </w:rPr>
              <w:t>Sofern man bereits mit den ersten steuerungstechnischen Inhalten beginnt, kann die thematische Einheit Steuerungstechnik (Lernfelder 3, 6 und 13) vollständig über Dialogisches Lernen in Verbindung mit der Lerntheke über die gesamte Ausbildungszeit hinweg abgebildet werden.</w:t>
            </w:r>
          </w:p>
        </w:tc>
      </w:tr>
    </w:tbl>
    <w:p w:rsidR="006C499A" w:rsidRDefault="006C499A" w:rsidP="006C499A"/>
    <w:sectPr w:rsidR="006C499A" w:rsidSect="00341DE0">
      <w:pgSz w:w="11906" w:h="16838" w:code="9"/>
      <w:pgMar w:top="851" w:right="851" w:bottom="567" w:left="1418" w:header="709" w:footer="3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66B" w:rsidRDefault="006D566B">
      <w:r>
        <w:separator/>
      </w:r>
    </w:p>
  </w:endnote>
  <w:endnote w:type="continuationSeparator" w:id="0">
    <w:p w:rsidR="006D566B" w:rsidRDefault="006D5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66B" w:rsidRDefault="006D566B">
      <w:r>
        <w:separator/>
      </w:r>
    </w:p>
  </w:footnote>
  <w:footnote w:type="continuationSeparator" w:id="0">
    <w:p w:rsidR="006D566B" w:rsidRDefault="006D56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36D4"/>
    <w:multiLevelType w:val="hybridMultilevel"/>
    <w:tmpl w:val="489864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11687322"/>
    <w:multiLevelType w:val="multilevel"/>
    <w:tmpl w:val="573AB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BD6C2B"/>
    <w:multiLevelType w:val="hybridMultilevel"/>
    <w:tmpl w:val="D42C46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1971C8C"/>
    <w:multiLevelType w:val="hybridMultilevel"/>
    <w:tmpl w:val="A3407F32"/>
    <w:lvl w:ilvl="0" w:tplc="21B69EE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741C1964"/>
    <w:multiLevelType w:val="hybridMultilevel"/>
    <w:tmpl w:val="8B327B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87A44F9"/>
    <w:multiLevelType w:val="hybridMultilevel"/>
    <w:tmpl w:val="C0760F9E"/>
    <w:lvl w:ilvl="0" w:tplc="B6986D16">
      <w:start w:val="26"/>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9A"/>
    <w:rsid w:val="000A23B9"/>
    <w:rsid w:val="0029645C"/>
    <w:rsid w:val="0031170B"/>
    <w:rsid w:val="00341DE0"/>
    <w:rsid w:val="003D6141"/>
    <w:rsid w:val="005227DC"/>
    <w:rsid w:val="006C499A"/>
    <w:rsid w:val="006D566B"/>
    <w:rsid w:val="00810BA6"/>
    <w:rsid w:val="008C338A"/>
    <w:rsid w:val="009138E8"/>
    <w:rsid w:val="00B96CD2"/>
    <w:rsid w:val="00F761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C499A"/>
    <w:pPr>
      <w:spacing w:after="0" w:line="240" w:lineRule="auto"/>
    </w:pPr>
    <w:rPr>
      <w:rFonts w:ascii="Arial" w:hAnsi="Arial" w:cs="Arial"/>
      <w:sz w:val="24"/>
    </w:rPr>
  </w:style>
  <w:style w:type="paragraph" w:styleId="berschrift2">
    <w:name w:val="heading 2"/>
    <w:basedOn w:val="Standard"/>
    <w:next w:val="Standard"/>
    <w:link w:val="berschrift2Zchn"/>
    <w:autoRedefine/>
    <w:uiPriority w:val="9"/>
    <w:unhideWhenUsed/>
    <w:qFormat/>
    <w:rsid w:val="006C499A"/>
    <w:pPr>
      <w:keepNext/>
      <w:keepLines/>
      <w:spacing w:line="259" w:lineRule="auto"/>
      <w:outlineLvl w:val="1"/>
    </w:pPr>
    <w:rPr>
      <w:rFonts w:asciiTheme="minorHAnsi" w:eastAsiaTheme="majorEastAsia" w:hAnsiTheme="minorHAnsi" w:cstheme="majorBidi"/>
      <w:b/>
      <w:color w:val="000000" w:themeColor="text1"/>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6C499A"/>
    <w:rPr>
      <w:rFonts w:eastAsiaTheme="majorEastAsia" w:cstheme="majorBidi"/>
      <w:b/>
      <w:color w:val="000000" w:themeColor="text1"/>
      <w:sz w:val="32"/>
    </w:rPr>
  </w:style>
  <w:style w:type="paragraph" w:styleId="Fuzeile">
    <w:name w:val="footer"/>
    <w:basedOn w:val="Standard"/>
    <w:link w:val="FuzeileZchn"/>
    <w:rsid w:val="006C499A"/>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rsid w:val="006C499A"/>
    <w:rPr>
      <w:rFonts w:ascii="Arial" w:eastAsia="Times New Roman" w:hAnsi="Arial" w:cs="Times New Roman"/>
      <w:sz w:val="16"/>
      <w:szCs w:val="20"/>
      <w:lang w:eastAsia="de-DE"/>
    </w:rPr>
  </w:style>
  <w:style w:type="paragraph" w:styleId="Listenabsatz">
    <w:name w:val="List Paragraph"/>
    <w:basedOn w:val="Standard"/>
    <w:uiPriority w:val="34"/>
    <w:qFormat/>
    <w:rsid w:val="006C499A"/>
    <w:pPr>
      <w:ind w:left="720"/>
      <w:contextualSpacing/>
    </w:pPr>
  </w:style>
  <w:style w:type="character" w:styleId="Hyperlink">
    <w:name w:val="Hyperlink"/>
    <w:basedOn w:val="Absatz-Standardschriftart"/>
    <w:uiPriority w:val="99"/>
    <w:unhideWhenUsed/>
    <w:rsid w:val="006C499A"/>
    <w:rPr>
      <w:color w:val="0563C1" w:themeColor="hyperlink"/>
      <w:u w:val="single"/>
    </w:rPr>
  </w:style>
  <w:style w:type="character" w:styleId="Fett">
    <w:name w:val="Strong"/>
    <w:basedOn w:val="Absatz-Standardschriftart"/>
    <w:uiPriority w:val="22"/>
    <w:qFormat/>
    <w:rsid w:val="006C499A"/>
    <w:rPr>
      <w:b/>
      <w:bCs/>
    </w:rPr>
  </w:style>
  <w:style w:type="character" w:styleId="Hervorhebung">
    <w:name w:val="Emphasis"/>
    <w:basedOn w:val="Absatz-Standardschriftart"/>
    <w:uiPriority w:val="20"/>
    <w:qFormat/>
    <w:rsid w:val="006C499A"/>
    <w:rPr>
      <w:i/>
      <w:iCs/>
    </w:rPr>
  </w:style>
  <w:style w:type="paragraph" w:styleId="Beschriftung">
    <w:name w:val="caption"/>
    <w:basedOn w:val="Standard"/>
    <w:next w:val="Standard"/>
    <w:uiPriority w:val="35"/>
    <w:unhideWhenUsed/>
    <w:qFormat/>
    <w:rsid w:val="006C499A"/>
    <w:pPr>
      <w:spacing w:after="200"/>
    </w:pPr>
    <w:rPr>
      <w:rFonts w:asciiTheme="minorHAnsi" w:hAnsiTheme="minorHAnsi" w:cstheme="minorBidi"/>
      <w:i/>
      <w:iCs/>
      <w:color w:val="44546A" w:themeColor="text2"/>
      <w:sz w:val="18"/>
      <w:szCs w:val="18"/>
    </w:rPr>
  </w:style>
  <w:style w:type="paragraph" w:styleId="Sprechblasentext">
    <w:name w:val="Balloon Text"/>
    <w:basedOn w:val="Standard"/>
    <w:link w:val="SprechblasentextZchn"/>
    <w:uiPriority w:val="99"/>
    <w:semiHidden/>
    <w:unhideWhenUsed/>
    <w:rsid w:val="00810BA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10B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C499A"/>
    <w:pPr>
      <w:spacing w:after="0" w:line="240" w:lineRule="auto"/>
    </w:pPr>
    <w:rPr>
      <w:rFonts w:ascii="Arial" w:hAnsi="Arial" w:cs="Arial"/>
      <w:sz w:val="24"/>
    </w:rPr>
  </w:style>
  <w:style w:type="paragraph" w:styleId="berschrift2">
    <w:name w:val="heading 2"/>
    <w:basedOn w:val="Standard"/>
    <w:next w:val="Standard"/>
    <w:link w:val="berschrift2Zchn"/>
    <w:autoRedefine/>
    <w:uiPriority w:val="9"/>
    <w:unhideWhenUsed/>
    <w:qFormat/>
    <w:rsid w:val="006C499A"/>
    <w:pPr>
      <w:keepNext/>
      <w:keepLines/>
      <w:spacing w:line="259" w:lineRule="auto"/>
      <w:outlineLvl w:val="1"/>
    </w:pPr>
    <w:rPr>
      <w:rFonts w:asciiTheme="minorHAnsi" w:eastAsiaTheme="majorEastAsia" w:hAnsiTheme="minorHAnsi" w:cstheme="majorBidi"/>
      <w:b/>
      <w:color w:val="000000" w:themeColor="text1"/>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6C499A"/>
    <w:rPr>
      <w:rFonts w:eastAsiaTheme="majorEastAsia" w:cstheme="majorBidi"/>
      <w:b/>
      <w:color w:val="000000" w:themeColor="text1"/>
      <w:sz w:val="32"/>
    </w:rPr>
  </w:style>
  <w:style w:type="paragraph" w:styleId="Fuzeile">
    <w:name w:val="footer"/>
    <w:basedOn w:val="Standard"/>
    <w:link w:val="FuzeileZchn"/>
    <w:rsid w:val="006C499A"/>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rsid w:val="006C499A"/>
    <w:rPr>
      <w:rFonts w:ascii="Arial" w:eastAsia="Times New Roman" w:hAnsi="Arial" w:cs="Times New Roman"/>
      <w:sz w:val="16"/>
      <w:szCs w:val="20"/>
      <w:lang w:eastAsia="de-DE"/>
    </w:rPr>
  </w:style>
  <w:style w:type="paragraph" w:styleId="Listenabsatz">
    <w:name w:val="List Paragraph"/>
    <w:basedOn w:val="Standard"/>
    <w:uiPriority w:val="34"/>
    <w:qFormat/>
    <w:rsid w:val="006C499A"/>
    <w:pPr>
      <w:ind w:left="720"/>
      <w:contextualSpacing/>
    </w:pPr>
  </w:style>
  <w:style w:type="character" w:styleId="Hyperlink">
    <w:name w:val="Hyperlink"/>
    <w:basedOn w:val="Absatz-Standardschriftart"/>
    <w:uiPriority w:val="99"/>
    <w:unhideWhenUsed/>
    <w:rsid w:val="006C499A"/>
    <w:rPr>
      <w:color w:val="0563C1" w:themeColor="hyperlink"/>
      <w:u w:val="single"/>
    </w:rPr>
  </w:style>
  <w:style w:type="character" w:styleId="Fett">
    <w:name w:val="Strong"/>
    <w:basedOn w:val="Absatz-Standardschriftart"/>
    <w:uiPriority w:val="22"/>
    <w:qFormat/>
    <w:rsid w:val="006C499A"/>
    <w:rPr>
      <w:b/>
      <w:bCs/>
    </w:rPr>
  </w:style>
  <w:style w:type="character" w:styleId="Hervorhebung">
    <w:name w:val="Emphasis"/>
    <w:basedOn w:val="Absatz-Standardschriftart"/>
    <w:uiPriority w:val="20"/>
    <w:qFormat/>
    <w:rsid w:val="006C499A"/>
    <w:rPr>
      <w:i/>
      <w:iCs/>
    </w:rPr>
  </w:style>
  <w:style w:type="paragraph" w:styleId="Beschriftung">
    <w:name w:val="caption"/>
    <w:basedOn w:val="Standard"/>
    <w:next w:val="Standard"/>
    <w:uiPriority w:val="35"/>
    <w:unhideWhenUsed/>
    <w:qFormat/>
    <w:rsid w:val="006C499A"/>
    <w:pPr>
      <w:spacing w:after="200"/>
    </w:pPr>
    <w:rPr>
      <w:rFonts w:asciiTheme="minorHAnsi" w:hAnsiTheme="minorHAnsi" w:cstheme="minorBidi"/>
      <w:i/>
      <w:iCs/>
      <w:color w:val="44546A" w:themeColor="text2"/>
      <w:sz w:val="18"/>
      <w:szCs w:val="18"/>
    </w:rPr>
  </w:style>
  <w:style w:type="paragraph" w:styleId="Sprechblasentext">
    <w:name w:val="Balloon Text"/>
    <w:basedOn w:val="Standard"/>
    <w:link w:val="SprechblasentextZchn"/>
    <w:uiPriority w:val="99"/>
    <w:semiHidden/>
    <w:unhideWhenUsed/>
    <w:rsid w:val="00810BA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10B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lerndialoge.ch"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710</Words>
  <Characters>4477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reto</dc:creator>
  <cp:keywords/>
  <dc:description/>
  <cp:lastModifiedBy>NN</cp:lastModifiedBy>
  <cp:revision>6</cp:revision>
  <dcterms:created xsi:type="dcterms:W3CDTF">2014-07-21T16:02:00Z</dcterms:created>
  <dcterms:modified xsi:type="dcterms:W3CDTF">2014-11-07T12:20:00Z</dcterms:modified>
</cp:coreProperties>
</file>