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F1E78" w14:textId="1557DC7E" w:rsidR="00EF198C" w:rsidRDefault="00EF198C" w:rsidP="00EF198C">
      <w:pPr>
        <w:spacing w:line="276" w:lineRule="auto"/>
        <w:rPr>
          <w:rFonts w:cs="Arial"/>
          <w:b/>
        </w:rPr>
      </w:pPr>
      <w:r>
        <w:rPr>
          <w:rFonts w:cs="Arial"/>
          <w:b/>
        </w:rPr>
        <w:t xml:space="preserve">Anlage 12: Arbeitsblätter zur Vertiefungsphase </w:t>
      </w:r>
    </w:p>
    <w:p w14:paraId="24E0C5B3" w14:textId="77777777" w:rsidR="00EF198C" w:rsidRDefault="00EF198C" w:rsidP="00EF198C">
      <w:pPr>
        <w:spacing w:line="276" w:lineRule="auto"/>
        <w:rPr>
          <w:rFonts w:cs="Arial"/>
          <w:b/>
        </w:rPr>
      </w:pPr>
    </w:p>
    <w:tbl>
      <w:tblPr>
        <w:tblStyle w:val="Tabellenraster"/>
        <w:tblW w:w="1020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0206"/>
      </w:tblGrid>
      <w:tr w:rsidR="00EF198C" w:rsidRPr="00CE2621" w14:paraId="3B28550C" w14:textId="77777777" w:rsidTr="0050512A">
        <w:tc>
          <w:tcPr>
            <w:tcW w:w="10206" w:type="dxa"/>
            <w:shd w:val="clear" w:color="auto" w:fill="FFFF99"/>
          </w:tcPr>
          <w:p w14:paraId="5E0D3147" w14:textId="77777777" w:rsidR="00EF198C" w:rsidRPr="00CE2621" w:rsidRDefault="00EF198C" w:rsidP="00D71780">
            <w:pPr>
              <w:spacing w:before="40" w:after="40" w:line="276" w:lineRule="auto"/>
              <w:jc w:val="center"/>
              <w:rPr>
                <w:rFonts w:cs="Arial"/>
                <w:b/>
              </w:rPr>
            </w:pPr>
            <w:r w:rsidRPr="00CE2621">
              <w:rPr>
                <w:rFonts w:cs="Arial"/>
                <w:b/>
              </w:rPr>
              <w:t xml:space="preserve">Der Fernabsatzvertrag – eine </w:t>
            </w:r>
            <w:r>
              <w:rPr>
                <w:rFonts w:cs="Arial"/>
                <w:b/>
              </w:rPr>
              <w:t>Vertiefung</w:t>
            </w:r>
          </w:p>
        </w:tc>
      </w:tr>
    </w:tbl>
    <w:p w14:paraId="1553888D" w14:textId="77777777" w:rsidR="00EF198C" w:rsidRPr="00CE2621" w:rsidRDefault="00EF198C" w:rsidP="00EF198C">
      <w:pPr>
        <w:spacing w:before="120" w:line="360" w:lineRule="auto"/>
        <w:jc w:val="center"/>
        <w:rPr>
          <w:rFonts w:cs="Arial"/>
          <w:b/>
          <w:u w:val="single"/>
        </w:rPr>
      </w:pPr>
      <w:r w:rsidRPr="00CE2621">
        <w:rPr>
          <w:rFonts w:cs="Arial"/>
          <w:b/>
          <w:u w:val="single"/>
        </w:rPr>
        <w:t xml:space="preserve"> </w:t>
      </w:r>
      <w:r>
        <w:rPr>
          <w:rFonts w:cs="Arial"/>
          <w:b/>
          <w:u w:val="single"/>
        </w:rPr>
        <w:t>Aufgabenbearbeitung unter Berücksichtigung der Lerntypen</w:t>
      </w:r>
    </w:p>
    <w:p w14:paraId="40AA3EDF" w14:textId="77777777" w:rsidR="00EF198C" w:rsidRDefault="00EF198C" w:rsidP="00EF198C">
      <w:pPr>
        <w:rPr>
          <w:rFonts w:cs="Arial"/>
          <w:sz w:val="22"/>
          <w:szCs w:val="22"/>
        </w:rPr>
      </w:pPr>
    </w:p>
    <w:p w14:paraId="5E3ACCF2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  <w:r>
        <w:rPr>
          <w:rFonts w:cs="Arial"/>
          <w:b/>
          <w:bCs/>
          <w:sz w:val="22"/>
          <w:szCs w:val="22"/>
        </w:rPr>
        <w:t xml:space="preserve">Vorgehensweise:  </w:t>
      </w:r>
    </w:p>
    <w:p w14:paraId="10D55B40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  <w:r>
        <w:rPr>
          <w:rFonts w:cs="Arial"/>
          <w:sz w:val="22"/>
          <w:szCs w:val="22"/>
        </w:rPr>
        <w:t xml:space="preserve">Bearbeiten Sie Aufgaben unter Anwendung der entsprechend unten beschriebenen Lernstrategie ihres Lerntyps. </w:t>
      </w:r>
    </w:p>
    <w:p w14:paraId="641A58F9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Hinweis: Es müssen alle Aufgaben bearbeitet werden. Sollten Sie mehrere Lerntypen aufweisen, besteht für Sie die Möglichkeit, bei den Aufgaben die Strategie zu wechseln. </w:t>
      </w:r>
    </w:p>
    <w:p w14:paraId="61D44789" w14:textId="77777777" w:rsidR="00EF198C" w:rsidRDefault="00EF198C" w:rsidP="00EF198C">
      <w:pPr>
        <w:rPr>
          <w:rFonts w:cs="Arial"/>
          <w:sz w:val="22"/>
          <w:szCs w:val="22"/>
        </w:rPr>
      </w:pPr>
    </w:p>
    <w:tbl>
      <w:tblPr>
        <w:tblStyle w:val="Tabellenraster"/>
        <w:tblW w:w="10031" w:type="dxa"/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10031"/>
      </w:tblGrid>
      <w:tr w:rsidR="00EF198C" w:rsidRPr="00FF4B48" w14:paraId="6C1D2A34" w14:textId="77777777" w:rsidTr="00D71780">
        <w:tc>
          <w:tcPr>
            <w:tcW w:w="10031" w:type="dxa"/>
            <w:shd w:val="clear" w:color="auto" w:fill="FBD4B4" w:themeFill="accent6" w:themeFillTint="66"/>
          </w:tcPr>
          <w:p w14:paraId="27C92F02" w14:textId="77777777" w:rsidR="00EF198C" w:rsidRPr="00FF4B48" w:rsidRDefault="00EF198C" w:rsidP="00D71780">
            <w:pPr>
              <w:jc w:val="center"/>
              <w:rPr>
                <w:rFonts w:cs="Arial"/>
                <w:b/>
              </w:rPr>
            </w:pPr>
            <w:r w:rsidRPr="00FF4B48">
              <w:rPr>
                <w:rFonts w:cs="Arial"/>
                <w:b/>
                <w:sz w:val="28"/>
                <w:szCs w:val="28"/>
              </w:rPr>
              <w:t>Strategien</w:t>
            </w:r>
          </w:p>
        </w:tc>
      </w:tr>
    </w:tbl>
    <w:p w14:paraId="35E8FBDC" w14:textId="77777777" w:rsidR="00EF198C" w:rsidRDefault="00EF198C" w:rsidP="00EF198C">
      <w:pPr>
        <w:rPr>
          <w:rFonts w:cs="Arial"/>
          <w:sz w:val="22"/>
          <w:szCs w:val="22"/>
        </w:rPr>
      </w:pPr>
    </w:p>
    <w:tbl>
      <w:tblPr>
        <w:tblStyle w:val="Tabellenraster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EF198C" w14:paraId="7B9E09B7" w14:textId="77777777" w:rsidTr="00D71780">
        <w:trPr>
          <w:trHeight w:val="2078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30136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120"/>
              <w:rPr>
                <w:rFonts w:ascii="Helvetica" w:hAnsi="Helvetica" w:cs="Helvetica"/>
              </w:rPr>
            </w:pPr>
            <w:r w:rsidRPr="008F0571">
              <w:rPr>
                <w:rFonts w:cs="Arial"/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48E869" wp14:editId="4A08DF68">
                      <wp:simplePos x="0" y="0"/>
                      <wp:positionH relativeFrom="column">
                        <wp:posOffset>5393690</wp:posOffset>
                      </wp:positionH>
                      <wp:positionV relativeFrom="paragraph">
                        <wp:posOffset>82550</wp:posOffset>
                      </wp:positionV>
                      <wp:extent cx="904875" cy="1028065"/>
                      <wp:effectExtent l="0" t="0" r="9525" b="0"/>
                      <wp:wrapNone/>
                      <wp:docPr id="29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1028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22852B" w14:textId="77777777" w:rsidR="00D71780" w:rsidRDefault="00D71780" w:rsidP="00EF198C">
                                  <w:r w:rsidRPr="00F764E4">
                                    <w:rPr>
                                      <w:sz w:val="144"/>
                                      <w:szCs w:val="144"/>
                                    </w:rPr>
                                    <w:sym w:font="Wingdings" w:char="F049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424.7pt;margin-top:6.5pt;width:71.25pt;height:8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" stroked="f">
                      <v:textbox>
                        <w:txbxContent>
                          <w:p w14:paraId="4122852B" w14:textId="77777777" w:rsidR="00EF198C" w:rsidRDefault="00EF198C" w:rsidP="00EF198C">
                            <w:r w:rsidRPr="00F764E4">
                              <w:rPr>
                                <w:sz w:val="144"/>
                                <w:szCs w:val="144"/>
                              </w:rPr>
                              <w:sym w:font="Wingdings" w:char="F049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b/>
                <w:bCs/>
              </w:rPr>
              <w:t xml:space="preserve">Haptisch (Partner- oder Gruppenarbeit (max. 4 Personen)): </w:t>
            </w:r>
          </w:p>
          <w:p w14:paraId="622249BC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cs="Arial"/>
                <w:b/>
                <w:bCs/>
              </w:rPr>
            </w:pPr>
          </w:p>
          <w:p w14:paraId="58739852" w14:textId="77777777" w:rsidR="00EF198C" w:rsidRPr="00A16203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cs="Arial"/>
                <w:bCs/>
              </w:rPr>
            </w:pPr>
            <w:r w:rsidRPr="00A16203">
              <w:rPr>
                <w:rFonts w:cs="Arial"/>
                <w:bCs/>
              </w:rPr>
              <w:t xml:space="preserve">Verschaffen Sie sich einen Überblick über die Inhalte der letzten Stunden. </w:t>
            </w:r>
          </w:p>
          <w:p w14:paraId="65A778A0" w14:textId="77777777" w:rsidR="00EF198C" w:rsidRPr="00A16203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Arial"/>
                <w:bCs/>
              </w:rPr>
            </w:pPr>
            <w:r w:rsidRPr="00A16203">
              <w:rPr>
                <w:rFonts w:cs="Arial"/>
                <w:bCs/>
              </w:rPr>
              <w:t xml:space="preserve">Bewegen Sie sich beim </w:t>
            </w:r>
            <w:r>
              <w:rPr>
                <w:rFonts w:cs="Arial"/>
                <w:bCs/>
              </w:rPr>
              <w:t>Wiederholen</w:t>
            </w:r>
            <w:proofErr w:type="gramStart"/>
            <w:r w:rsidRPr="00A16203">
              <w:rPr>
                <w:rFonts w:cs="Arial"/>
                <w:bCs/>
              </w:rPr>
              <w:t>, gehen</w:t>
            </w:r>
            <w:proofErr w:type="gramEnd"/>
            <w:r w:rsidRPr="00A16203">
              <w:rPr>
                <w:rFonts w:cs="Arial"/>
                <w:bCs/>
              </w:rPr>
              <w:t xml:space="preserve"> Sie auf und ab.  </w:t>
            </w:r>
          </w:p>
          <w:p w14:paraId="64CB6F1C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cs="Arial"/>
              </w:rPr>
            </w:pPr>
            <w:r>
              <w:rPr>
                <w:rFonts w:cs="Arial"/>
              </w:rPr>
              <w:t>Bearbeiten Sie dann die Aufgaben zunächst alleine oder mit einem Partner, tauschen</w:t>
            </w:r>
          </w:p>
          <w:p w14:paraId="6B726EF8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" w:hAnsi="Helvetica" w:cs="Helvetica"/>
              </w:rPr>
            </w:pPr>
            <w:r>
              <w:rPr>
                <w:rFonts w:cs="Arial"/>
              </w:rPr>
              <w:t xml:space="preserve">Sie anschließend Ihre Ergebnisse mit einem Partner oder einem Partnerpaar aus. </w:t>
            </w:r>
          </w:p>
          <w:p w14:paraId="20180C38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14:paraId="55997804" w14:textId="77777777" w:rsidR="00EF198C" w:rsidRPr="008F0571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Arial"/>
                <w:sz w:val="10"/>
                <w:szCs w:val="10"/>
              </w:rPr>
            </w:pPr>
            <w:r>
              <w:rPr>
                <w:rFonts w:cs="Arial"/>
              </w:rPr>
              <w:t xml:space="preserve">Kontrollieren Sie gegenseitig Ihre Ergebnisse. </w:t>
            </w:r>
          </w:p>
        </w:tc>
      </w:tr>
      <w:tr w:rsidR="00EF198C" w:rsidRPr="00CE2621" w14:paraId="6B701A21" w14:textId="77777777" w:rsidTr="00D71780"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E7B0A1" w14:textId="77777777" w:rsidR="00EF198C" w:rsidRPr="00CE2621" w:rsidRDefault="00EF198C" w:rsidP="00D71780">
            <w:pPr>
              <w:rPr>
                <w:rFonts w:cs="Arial"/>
                <w:sz w:val="4"/>
                <w:szCs w:val="4"/>
              </w:rPr>
            </w:pPr>
          </w:p>
        </w:tc>
      </w:tr>
      <w:tr w:rsidR="00EF198C" w14:paraId="4508A77B" w14:textId="77777777" w:rsidTr="00D71780">
        <w:trPr>
          <w:trHeight w:val="178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757C1" w14:textId="77777777" w:rsidR="00EF198C" w:rsidRDefault="00EF198C" w:rsidP="00D71780">
            <w:pPr>
              <w:spacing w:before="120"/>
              <w:rPr>
                <w:rFonts w:ascii="Helvetica" w:hAnsi="Helvetica" w:cs="Helvetica"/>
              </w:rPr>
            </w:pPr>
            <w:r w:rsidRPr="008F0571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6F7BC3" wp14:editId="3CEBBFA8">
                      <wp:simplePos x="0" y="0"/>
                      <wp:positionH relativeFrom="column">
                        <wp:posOffset>5393690</wp:posOffset>
                      </wp:positionH>
                      <wp:positionV relativeFrom="page">
                        <wp:posOffset>24765</wp:posOffset>
                      </wp:positionV>
                      <wp:extent cx="835025" cy="685800"/>
                      <wp:effectExtent l="0" t="0" r="3175" b="0"/>
                      <wp:wrapNone/>
                      <wp:docPr id="29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025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4C3B06" w14:textId="77777777" w:rsidR="00D71780" w:rsidRPr="00F764E4" w:rsidRDefault="00D71780" w:rsidP="00EF198C">
                                  <w:pPr>
                                    <w:widowControl w:val="0"/>
                                    <w:tabs>
                                      <w:tab w:val="left" w:pos="2610"/>
                                    </w:tabs>
                                    <w:rPr>
                                      <w:rFonts w:ascii="Webdings" w:hAnsi="Webdings" w:cs="Arial"/>
                                      <w:sz w:val="130"/>
                                      <w:szCs w:val="130"/>
                                    </w:rPr>
                                  </w:pPr>
                                  <w:r w:rsidRPr="00F764E4">
                                    <w:rPr>
                                      <w:rFonts w:ascii="Webdings" w:hAnsi="Webdings" w:cs="Arial"/>
                                      <w:sz w:val="130"/>
                                      <w:szCs w:val="130"/>
                                    </w:rPr>
                                    <w:t></w:t>
                                  </w:r>
                                </w:p>
                                <w:p w14:paraId="0F812FC5" w14:textId="77777777" w:rsidR="00D71780" w:rsidRDefault="00D71780" w:rsidP="00EF198C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non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424.7pt;margin-top:1.95pt;width:65.75pt;height:54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" stroked="f">
                      <v:textbox inset="0,0,0,0">
                        <w:txbxContent>
                          <w:p w14:paraId="284C3B06" w14:textId="77777777" w:rsidR="00EF198C" w:rsidRPr="00F764E4" w:rsidRDefault="00EF198C" w:rsidP="00EF198C">
                            <w:pPr>
                              <w:widowControl w:val="0"/>
                              <w:tabs>
                                <w:tab w:val="left" w:pos="2610"/>
                              </w:tabs>
                              <w:rPr>
                                <w:rFonts w:ascii="Webdings" w:hAnsi="Webdings" w:cs="Arial"/>
                                <w:sz w:val="130"/>
                                <w:szCs w:val="130"/>
                              </w:rPr>
                            </w:pPr>
                            <w:r w:rsidRPr="00F764E4">
                              <w:rPr>
                                <w:rFonts w:ascii="Webdings" w:hAnsi="Webdings" w:cs="Arial"/>
                                <w:sz w:val="130"/>
                                <w:szCs w:val="130"/>
                              </w:rPr>
                              <w:t></w:t>
                            </w:r>
                          </w:p>
                          <w:p w14:paraId="0F812FC5" w14:textId="77777777" w:rsidR="00EF198C" w:rsidRDefault="00EF198C" w:rsidP="00EF198C">
                            <w:pPr>
                              <w:jc w:val="right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cs="Arial"/>
                <w:b/>
                <w:bCs/>
              </w:rPr>
              <w:t xml:space="preserve">Visuell (Einzel-, Partner- oder Gruppenarbeit (max. 4 Personen)): </w:t>
            </w:r>
          </w:p>
          <w:p w14:paraId="1CDE5305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" w:hAnsi="Helvetica" w:cs="Helvetica"/>
              </w:rPr>
            </w:pPr>
            <w:r>
              <w:rPr>
                <w:rFonts w:cs="Arial"/>
                <w:b/>
                <w:bCs/>
              </w:rPr>
              <w:t xml:space="preserve"> </w:t>
            </w:r>
          </w:p>
          <w:p w14:paraId="18239A5F" w14:textId="77777777" w:rsidR="00EF198C" w:rsidRPr="00A16203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Arial"/>
                <w:bCs/>
              </w:rPr>
            </w:pPr>
            <w:r w:rsidRPr="00A16203">
              <w:rPr>
                <w:rFonts w:cs="Arial"/>
                <w:bCs/>
              </w:rPr>
              <w:t xml:space="preserve">Verschaffen Sie sich einen Überblick über die Inhalte der letzten Stunden. </w:t>
            </w:r>
          </w:p>
          <w:p w14:paraId="28E5E0CA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cs="Arial"/>
              </w:rPr>
            </w:pPr>
            <w:r>
              <w:rPr>
                <w:rFonts w:cs="Arial"/>
              </w:rPr>
              <w:t xml:space="preserve">Markieren Sie wichtige Hinweise in den Übungsfällen und in Ihrem Gesetz mit farbigen </w:t>
            </w:r>
          </w:p>
          <w:p w14:paraId="15ED7AA7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cs="Arial"/>
              </w:rPr>
            </w:pPr>
            <w:r>
              <w:rPr>
                <w:rFonts w:cs="Arial"/>
              </w:rPr>
              <w:t xml:space="preserve">Stiften oder Textmarkern. </w:t>
            </w:r>
          </w:p>
          <w:p w14:paraId="52872744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cs="Arial"/>
              </w:rPr>
            </w:pPr>
            <w:r>
              <w:rPr>
                <w:rFonts w:cs="Arial"/>
              </w:rPr>
              <w:t>Machen Sie sich bei</w:t>
            </w:r>
            <w:r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</w:rPr>
              <w:t>schwierigen/unklaren Fällen zusätzliche Randnotizen.</w:t>
            </w:r>
          </w:p>
          <w:p w14:paraId="25FA4A4D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" w:hAnsi="Helvetica" w:cs="Helvetica"/>
              </w:rPr>
            </w:pPr>
            <w:r>
              <w:rPr>
                <w:rFonts w:cs="Arial"/>
              </w:rPr>
              <w:t>Zeichnen Sie in einem Zeitstrahl die Widerrufsfristen und die Informationen aus den Aufgaben ein.</w:t>
            </w:r>
            <w:r>
              <w:rPr>
                <w:rFonts w:cs="Arial"/>
                <w:b/>
                <w:bCs/>
              </w:rPr>
              <w:t xml:space="preserve"> </w:t>
            </w:r>
          </w:p>
          <w:p w14:paraId="0E012359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" w:hAnsi="Helvetica" w:cs="Helvetica"/>
              </w:rPr>
            </w:pPr>
            <w:r>
              <w:rPr>
                <w:rFonts w:cs="Arial"/>
                <w:b/>
                <w:bCs/>
              </w:rPr>
              <w:t xml:space="preserve"> </w:t>
            </w:r>
          </w:p>
          <w:p w14:paraId="5CB5C9B9" w14:textId="77777777" w:rsidR="00EF198C" w:rsidRPr="00FF4B48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Helvetica" w:hAnsi="Helvetica" w:cs="Helvetica"/>
              </w:rPr>
            </w:pPr>
            <w:r>
              <w:rPr>
                <w:rFonts w:cs="Arial"/>
              </w:rPr>
              <w:t xml:space="preserve">Notieren Sie anschließend Ihre Ergebnisse und kontrollieren Sie diese selbstständig. </w:t>
            </w:r>
          </w:p>
        </w:tc>
      </w:tr>
      <w:tr w:rsidR="00EF198C" w:rsidRPr="00CE2621" w14:paraId="4B71FFC6" w14:textId="77777777" w:rsidTr="00D71780">
        <w:trPr>
          <w:trHeight w:val="96"/>
        </w:trPr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80DFB63" w14:textId="77777777" w:rsidR="00EF198C" w:rsidRPr="00CE2621" w:rsidRDefault="00EF198C" w:rsidP="00D71780">
            <w:pPr>
              <w:rPr>
                <w:rFonts w:cs="Arial"/>
                <w:b/>
                <w:sz w:val="4"/>
                <w:szCs w:val="4"/>
                <w:u w:val="single"/>
              </w:rPr>
            </w:pPr>
          </w:p>
        </w:tc>
      </w:tr>
      <w:tr w:rsidR="00EF198C" w14:paraId="0D25D2BB" w14:textId="77777777" w:rsidTr="00D71780">
        <w:trPr>
          <w:trHeight w:val="186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E1DAD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120"/>
              <w:rPr>
                <w:rFonts w:ascii="Helvetica" w:hAnsi="Helvetica" w:cs="Helvetica"/>
              </w:rPr>
            </w:pPr>
            <w:r w:rsidRPr="008F0571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36195" distR="36195" simplePos="0" relativeHeight="251660288" behindDoc="0" locked="0" layoutInCell="1" allowOverlap="0" wp14:anchorId="3B246560" wp14:editId="7E51E971">
                      <wp:simplePos x="0" y="0"/>
                      <wp:positionH relativeFrom="margin">
                        <wp:posOffset>5622290</wp:posOffset>
                      </wp:positionH>
                      <wp:positionV relativeFrom="margin">
                        <wp:posOffset>29210</wp:posOffset>
                      </wp:positionV>
                      <wp:extent cx="571500" cy="892175"/>
                      <wp:effectExtent l="0" t="0" r="0" b="0"/>
                      <wp:wrapNone/>
                      <wp:docPr id="294" name="Textfeld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892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5E744BB4" w14:textId="77777777" w:rsidR="00D71780" w:rsidRPr="001045EB" w:rsidRDefault="00D71780" w:rsidP="00EF198C">
                                  <w:pPr>
                                    <w:widowControl w:val="0"/>
                                    <w:ind w:left="-340"/>
                                    <w:rPr>
                                      <w:rFonts w:ascii="Webdings" w:hAnsi="Webdings"/>
                                      <w:sz w:val="144"/>
                                      <w:szCs w:val="144"/>
                                    </w:rPr>
                                  </w:pPr>
                                  <w:r w:rsidRPr="00F44F51">
                                    <w:rPr>
                                      <w:rFonts w:ascii="Webdings" w:hAnsi="Webdings"/>
                                      <w:sz w:val="144"/>
                                      <w:szCs w:val="144"/>
                                    </w:rPr>
                                    <w:t>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feld 294" o:spid="_x0000_s1028" type="#_x0000_t202" style="position:absolute;margin-left:442.7pt;margin-top:2.3pt;width:45pt;height:70.25pt;z-index:251660288;visibility:visible;mso-wrap-style:square;mso-width-percent:0;mso-wrap-distance-left:2.85pt;mso-wrap-distance-top:0;mso-wrap-distance-right:2.85pt;mso-wrap-distance-bottom:0;mso-position-horizontal:absolute;mso-position-horizontal-relative:margin;mso-position-vertical:absolute;mso-position-vertical-relative:margin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" o:allowoverlap="f" filled="f" stroked="f">
                      <v:textbox>
                        <w:txbxContent>
                          <w:p w14:paraId="5E744BB4" w14:textId="77777777" w:rsidR="00EF198C" w:rsidRPr="001045EB" w:rsidRDefault="00EF198C" w:rsidP="00EF198C">
                            <w:pPr>
                              <w:widowControl w:val="0"/>
                              <w:ind w:left="-340"/>
                              <w:rPr>
                                <w:rFonts w:ascii="Webdings" w:hAnsi="Webdings"/>
                                <w:sz w:val="144"/>
                                <w:szCs w:val="144"/>
                              </w:rPr>
                            </w:pPr>
                            <w:r w:rsidRPr="00F44F51">
                              <w:rPr>
                                <w:rFonts w:ascii="Webdings" w:hAnsi="Webdings"/>
                                <w:sz w:val="144"/>
                                <w:szCs w:val="144"/>
                              </w:rPr>
                              <w:t>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>
              <w:rPr>
                <w:rFonts w:cs="Arial"/>
                <w:b/>
                <w:bCs/>
              </w:rPr>
              <w:t xml:space="preserve">Auditiv (Einzel-, Partner- oder Gruppenarbeit (max. 4 Personen)): </w:t>
            </w:r>
          </w:p>
          <w:p w14:paraId="6E757260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cs="Arial"/>
                <w:b/>
                <w:bCs/>
              </w:rPr>
            </w:pPr>
          </w:p>
          <w:p w14:paraId="2AB1C8E2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cs="Arial"/>
                <w:bCs/>
              </w:rPr>
            </w:pPr>
            <w:r w:rsidRPr="00A16203">
              <w:rPr>
                <w:rFonts w:cs="Arial"/>
                <w:bCs/>
              </w:rPr>
              <w:t xml:space="preserve">Verschaffen Sie sich einen Überblick über die Inhalte der letzten Stunden. </w:t>
            </w:r>
            <w:r>
              <w:rPr>
                <w:rFonts w:cs="Arial"/>
                <w:bCs/>
              </w:rPr>
              <w:t>Erzählen Sie</w:t>
            </w:r>
          </w:p>
          <w:p w14:paraId="01745142" w14:textId="77777777" w:rsidR="00EF198C" w:rsidRPr="00A16203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die Lerninhalte anderen.</w:t>
            </w:r>
          </w:p>
          <w:p w14:paraId="665E0B92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cs="Arial"/>
              </w:rPr>
            </w:pPr>
            <w:r>
              <w:rPr>
                <w:rFonts w:cs="Arial"/>
              </w:rPr>
              <w:t xml:space="preserve">Lesen Sie sich die Fälle laut vor und Sie sich laut darüber Gedanken. Tauschen Sie </w:t>
            </w:r>
          </w:p>
          <w:p w14:paraId="40EEBB87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" w:hAnsi="Helvetica" w:cs="Helvetica"/>
              </w:rPr>
            </w:pPr>
            <w:r>
              <w:rPr>
                <w:rFonts w:cs="Arial"/>
              </w:rPr>
              <w:t xml:space="preserve">sich mit einem Partner/Partnerpaar über die Lösung der Fälle aus. </w:t>
            </w:r>
          </w:p>
          <w:p w14:paraId="219D0708" w14:textId="77777777" w:rsidR="00EF198C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" w:hAnsi="Helvetica" w:cs="Helvetica"/>
              </w:rPr>
            </w:pPr>
            <w:r>
              <w:rPr>
                <w:rFonts w:cs="Arial"/>
              </w:rPr>
              <w:t xml:space="preserve"> </w:t>
            </w:r>
          </w:p>
          <w:p w14:paraId="20238158" w14:textId="77777777" w:rsidR="00EF198C" w:rsidRPr="00FF4B48" w:rsidRDefault="00EF198C" w:rsidP="00D717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ascii="Helvetica" w:hAnsi="Helvetica" w:cs="Helvetica"/>
              </w:rPr>
            </w:pPr>
            <w:r>
              <w:rPr>
                <w:rFonts w:cs="Arial"/>
              </w:rPr>
              <w:t xml:space="preserve">Notieren Sie anschließend Ihre Ergebnisse und kontrollieren Sie diese selbstständig.  </w:t>
            </w:r>
          </w:p>
        </w:tc>
      </w:tr>
    </w:tbl>
    <w:p w14:paraId="7F120787" w14:textId="77777777" w:rsidR="00EF198C" w:rsidRDefault="00EF198C" w:rsidP="00EF198C">
      <w:pPr>
        <w:rPr>
          <w:rFonts w:cs="Arial"/>
          <w:sz w:val="22"/>
          <w:szCs w:val="22"/>
        </w:rPr>
      </w:pPr>
    </w:p>
    <w:p w14:paraId="71B7BDB3" w14:textId="77777777" w:rsidR="00EF198C" w:rsidRDefault="00EF198C" w:rsidP="00EF198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55246FBF" w14:textId="77777777" w:rsidR="00EF198C" w:rsidRDefault="00EF198C" w:rsidP="00EF198C">
      <w:pPr>
        <w:spacing w:line="276" w:lineRule="auto"/>
        <w:rPr>
          <w:rFonts w:cs="Arial"/>
          <w:b/>
        </w:rPr>
      </w:pPr>
    </w:p>
    <w:tbl>
      <w:tblPr>
        <w:tblStyle w:val="Tabellenraster"/>
        <w:tblW w:w="1020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F1FF8B"/>
        <w:tblLook w:val="04A0" w:firstRow="1" w:lastRow="0" w:firstColumn="1" w:lastColumn="0" w:noHBand="0" w:noVBand="1"/>
      </w:tblPr>
      <w:tblGrid>
        <w:gridCol w:w="10206"/>
      </w:tblGrid>
      <w:tr w:rsidR="00EF198C" w:rsidRPr="00CE2621" w14:paraId="35735329" w14:textId="77777777" w:rsidTr="0050512A">
        <w:tc>
          <w:tcPr>
            <w:tcW w:w="10206" w:type="dxa"/>
            <w:shd w:val="clear" w:color="auto" w:fill="F1FF8B"/>
          </w:tcPr>
          <w:p w14:paraId="71DFE579" w14:textId="77777777" w:rsidR="00EF198C" w:rsidRPr="00CE2621" w:rsidRDefault="00EF198C" w:rsidP="00D71780">
            <w:pPr>
              <w:spacing w:before="40" w:after="40" w:line="276" w:lineRule="auto"/>
              <w:jc w:val="center"/>
              <w:rPr>
                <w:rFonts w:cs="Arial"/>
                <w:b/>
              </w:rPr>
            </w:pPr>
            <w:r w:rsidRPr="00CE2621">
              <w:rPr>
                <w:rFonts w:cs="Arial"/>
                <w:b/>
              </w:rPr>
              <w:t xml:space="preserve">Der Fernabsatzvertrag – eine </w:t>
            </w:r>
            <w:r>
              <w:rPr>
                <w:rFonts w:cs="Arial"/>
                <w:b/>
              </w:rPr>
              <w:t>Vertiefung</w:t>
            </w:r>
          </w:p>
        </w:tc>
      </w:tr>
    </w:tbl>
    <w:p w14:paraId="244A1DA5" w14:textId="77777777" w:rsidR="00EF198C" w:rsidRPr="00CE2621" w:rsidRDefault="00EF198C" w:rsidP="00EF198C">
      <w:pPr>
        <w:spacing w:before="120" w:line="360" w:lineRule="auto"/>
        <w:jc w:val="center"/>
        <w:rPr>
          <w:rFonts w:cs="Arial"/>
          <w:b/>
          <w:u w:val="single"/>
        </w:rPr>
      </w:pPr>
      <w:r w:rsidRPr="00CE2621">
        <w:rPr>
          <w:rFonts w:cs="Arial"/>
          <w:b/>
          <w:u w:val="single"/>
        </w:rPr>
        <w:t xml:space="preserve"> </w:t>
      </w:r>
      <w:r>
        <w:rPr>
          <w:rFonts w:cs="Arial"/>
          <w:b/>
          <w:u w:val="single"/>
        </w:rPr>
        <w:t>Aufgabenbearbeitung unter Berücksichtigung der Lerntypen</w:t>
      </w:r>
    </w:p>
    <w:p w14:paraId="4A5FFCF0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52374710" w14:textId="77777777" w:rsidR="00D71780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Petra Klein ersteigert auf der Internetplattform </w:t>
      </w:r>
      <w:proofErr w:type="spellStart"/>
      <w:r>
        <w:rPr>
          <w:rFonts w:cs="Arial"/>
          <w:sz w:val="22"/>
          <w:szCs w:val="22"/>
        </w:rPr>
        <w:t>Abey</w:t>
      </w:r>
      <w:proofErr w:type="spellEnd"/>
      <w:r>
        <w:rPr>
          <w:rFonts w:cs="Arial"/>
          <w:sz w:val="22"/>
          <w:szCs w:val="22"/>
        </w:rPr>
        <w:t xml:space="preserve"> einen Hartschalenkoffer für 280 Euro von dem Unternehmen Kofferkönig GmbH. Sie bezahlt den Koffer inklusive</w:t>
      </w:r>
      <w:r w:rsidR="00D71780">
        <w:rPr>
          <w:rFonts w:cs="Arial"/>
          <w:sz w:val="22"/>
          <w:szCs w:val="22"/>
        </w:rPr>
        <w:t>r der Versandkosten von 10 Euro.</w:t>
      </w:r>
    </w:p>
    <w:p w14:paraId="5F774D4A" w14:textId="0BCC9876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 Tage später kommt die Lieferung bei ihr an. Mittlerweile bekam hat Sie jedoch von ihrer Tante einen Koffer geschenkt und braucht den bestellten Koffer daher nicht mehr.</w:t>
      </w:r>
    </w:p>
    <w:p w14:paraId="7EDD025F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7FB0E554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  <w:r>
        <w:rPr>
          <w:rFonts w:cs="Arial"/>
          <w:sz w:val="22"/>
          <w:szCs w:val="22"/>
        </w:rPr>
        <w:t>a) Kann Petra Klein den Koffer wieder an Kofferkönig zurückschicken? (Begründung)</w:t>
      </w:r>
    </w:p>
    <w:p w14:paraId="405ABA3B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73A746DE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73569FE4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5D40E7BC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1E070585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0E6B7A37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4C3C3A9D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3DA18070" w14:textId="1D7F9C4D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  <w:r>
        <w:rPr>
          <w:rFonts w:cs="Arial"/>
          <w:sz w:val="22"/>
          <w:szCs w:val="22"/>
        </w:rPr>
        <w:t xml:space="preserve">b) Das Unternehmen Kofferkönig belehrt Petra Klein erst </w:t>
      </w:r>
      <w:r w:rsidR="00EC1732">
        <w:rPr>
          <w:rFonts w:cs="Arial"/>
          <w:sz w:val="22"/>
          <w:szCs w:val="22"/>
        </w:rPr>
        <w:t>2 Wochen nach</w:t>
      </w:r>
      <w:r>
        <w:rPr>
          <w:rFonts w:cs="Arial"/>
          <w:sz w:val="22"/>
          <w:szCs w:val="22"/>
        </w:rPr>
        <w:t xml:space="preserve"> der Lieferung ordnungsgemäß über die Vertragsbedingungen. Wie lange hat sie Zeit, ihre Willenserklärung zu widerrufen?</w:t>
      </w:r>
      <w:r>
        <w:rPr>
          <w:rFonts w:cs="Arial"/>
          <w:sz w:val="18"/>
          <w:szCs w:val="18"/>
        </w:rPr>
        <w:t xml:space="preserve"> </w:t>
      </w:r>
    </w:p>
    <w:p w14:paraId="77C915A3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784FFCF5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2FA82ED4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62193D2D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7D4CD018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06D82661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2D44FBE1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4A7FB9C2" w14:textId="77777777" w:rsidR="00EF198C" w:rsidRPr="00C93991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c) Wie ist die rechtliche Lage bei a), wenn der Verkäufer des Kofferns eine Privatperson ist und hierauf auch bei der Auktion hingewiesen hat? („Dies ist ein  PRIVATVERKAUF</w:t>
      </w:r>
      <w:r w:rsidRPr="00C93991">
        <w:rPr>
          <w:rFonts w:cs="Arial"/>
          <w:sz w:val="22"/>
          <w:szCs w:val="22"/>
        </w:rPr>
        <w:t>,</w:t>
      </w:r>
      <w:proofErr w:type="gramStart"/>
      <w:r w:rsidRPr="00C93991">
        <w:rPr>
          <w:rFonts w:cs="Arial"/>
          <w:sz w:val="22"/>
          <w:szCs w:val="22"/>
        </w:rPr>
        <w:t> </w:t>
      </w:r>
      <w:proofErr w:type="gramEnd"/>
      <w:r w:rsidRPr="00C93991">
        <w:rPr>
          <w:rFonts w:cs="Arial"/>
          <w:sz w:val="22"/>
          <w:szCs w:val="22"/>
        </w:rPr>
        <w:t>daher keine Rücknahme, keine Garantie, keine Gewä</w:t>
      </w:r>
      <w:r>
        <w:rPr>
          <w:rFonts w:cs="Arial"/>
          <w:sz w:val="22"/>
          <w:szCs w:val="22"/>
        </w:rPr>
        <w:t>hrleistung.“)</w:t>
      </w:r>
    </w:p>
    <w:p w14:paraId="21062B35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04B46108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16FB1C0B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3A6F84F3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634C2588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7B48C8A4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32462D8C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494E11FA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53146D8D" w14:textId="77777777" w:rsidR="00EF198C" w:rsidRPr="00B53D47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  <w:sz w:val="22"/>
          <w:szCs w:val="22"/>
        </w:rPr>
      </w:pPr>
      <w:r w:rsidRPr="00B53D47">
        <w:rPr>
          <w:rFonts w:ascii="Helvetica" w:hAnsi="Helvetica" w:cs="Helvetica"/>
          <w:sz w:val="22"/>
          <w:szCs w:val="22"/>
        </w:rPr>
        <w:t>d) Wie ist die rechtliche Lage bei a), wenn Petra Klein den Koffer nach einem Telefonat mit einer Verkäuferin im Ladengeschäft von Kofferkönig kauft?</w:t>
      </w:r>
    </w:p>
    <w:p w14:paraId="51BB89DF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cs="Arial"/>
          <w:b/>
          <w:sz w:val="22"/>
          <w:szCs w:val="22"/>
        </w:rPr>
      </w:pPr>
    </w:p>
    <w:p w14:paraId="22A50D13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cs="Arial"/>
          <w:sz w:val="18"/>
          <w:szCs w:val="18"/>
        </w:rPr>
      </w:pPr>
    </w:p>
    <w:p w14:paraId="30F35C4F" w14:textId="77777777" w:rsidR="00EF198C" w:rsidRDefault="00EF198C" w:rsidP="00EF198C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03290457" w14:textId="6DAAF153" w:rsidR="00EF198C" w:rsidRPr="00EF198C" w:rsidRDefault="00EF198C" w:rsidP="00EF198C">
      <w:pPr>
        <w:spacing w:line="276" w:lineRule="auto"/>
        <w:jc w:val="center"/>
        <w:rPr>
          <w:rFonts w:cs="Arial"/>
          <w:b/>
          <w:sz w:val="32"/>
          <w:szCs w:val="32"/>
        </w:rPr>
      </w:pPr>
      <w:r w:rsidRPr="00EF198C">
        <w:rPr>
          <w:rFonts w:cs="Arial"/>
          <w:b/>
          <w:sz w:val="32"/>
          <w:szCs w:val="32"/>
          <w:highlight w:val="green"/>
        </w:rPr>
        <w:lastRenderedPageBreak/>
        <w:t>Lösung  zu den Aufgaben zur Vertiefungsphase</w:t>
      </w:r>
    </w:p>
    <w:p w14:paraId="57983593" w14:textId="77777777" w:rsidR="00EF198C" w:rsidRDefault="00EF198C" w:rsidP="00EF198C">
      <w:pPr>
        <w:spacing w:line="276" w:lineRule="auto"/>
        <w:rPr>
          <w:rFonts w:cs="Arial"/>
          <w:b/>
        </w:rPr>
      </w:pPr>
    </w:p>
    <w:tbl>
      <w:tblPr>
        <w:tblStyle w:val="Tabellenraster"/>
        <w:tblW w:w="1020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F1FF8B"/>
        <w:tblLook w:val="04A0" w:firstRow="1" w:lastRow="0" w:firstColumn="1" w:lastColumn="0" w:noHBand="0" w:noVBand="1"/>
      </w:tblPr>
      <w:tblGrid>
        <w:gridCol w:w="10206"/>
      </w:tblGrid>
      <w:tr w:rsidR="00EF198C" w:rsidRPr="00CE2621" w14:paraId="58BB7FCE" w14:textId="77777777" w:rsidTr="0050512A">
        <w:tc>
          <w:tcPr>
            <w:tcW w:w="10206" w:type="dxa"/>
            <w:shd w:val="clear" w:color="auto" w:fill="F1FF8B"/>
          </w:tcPr>
          <w:p w14:paraId="054C3C8C" w14:textId="77777777" w:rsidR="00EF198C" w:rsidRPr="00CE2621" w:rsidRDefault="00EF198C" w:rsidP="00D71780">
            <w:pPr>
              <w:spacing w:before="40" w:after="40" w:line="276" w:lineRule="auto"/>
              <w:jc w:val="center"/>
              <w:rPr>
                <w:rFonts w:cs="Arial"/>
                <w:b/>
              </w:rPr>
            </w:pPr>
            <w:r w:rsidRPr="00CE2621">
              <w:rPr>
                <w:rFonts w:cs="Arial"/>
                <w:b/>
              </w:rPr>
              <w:t xml:space="preserve">Der Fernabsatzvertrag – eine </w:t>
            </w:r>
            <w:r>
              <w:rPr>
                <w:rFonts w:cs="Arial"/>
                <w:b/>
              </w:rPr>
              <w:t>Vertiefung</w:t>
            </w:r>
          </w:p>
        </w:tc>
      </w:tr>
    </w:tbl>
    <w:p w14:paraId="2C22DD7A" w14:textId="77777777" w:rsidR="00EF198C" w:rsidRPr="00CE2621" w:rsidRDefault="00EF198C" w:rsidP="00EF198C">
      <w:pPr>
        <w:spacing w:before="120" w:line="360" w:lineRule="auto"/>
        <w:jc w:val="center"/>
        <w:rPr>
          <w:rFonts w:cs="Arial"/>
          <w:b/>
          <w:u w:val="single"/>
        </w:rPr>
      </w:pPr>
      <w:r w:rsidRPr="00CE2621">
        <w:rPr>
          <w:rFonts w:cs="Arial"/>
          <w:b/>
          <w:u w:val="single"/>
        </w:rPr>
        <w:t xml:space="preserve"> </w:t>
      </w:r>
      <w:r>
        <w:rPr>
          <w:rFonts w:cs="Arial"/>
          <w:b/>
          <w:u w:val="single"/>
        </w:rPr>
        <w:t>Aufgabenbearbeitung unter Berücksichtigung der Lerntypen</w:t>
      </w:r>
    </w:p>
    <w:p w14:paraId="50974A6A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Helvetica"/>
        </w:rPr>
      </w:pPr>
    </w:p>
    <w:p w14:paraId="570EAE15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cs="Arial"/>
          <w:sz w:val="22"/>
          <w:szCs w:val="22"/>
        </w:rPr>
      </w:pPr>
      <w:r w:rsidRPr="008D2907">
        <w:rPr>
          <w:rFonts w:cs="Arial"/>
          <w:b/>
          <w:sz w:val="22"/>
          <w:szCs w:val="22"/>
        </w:rPr>
        <w:t>Fall:</w:t>
      </w:r>
      <w:r>
        <w:rPr>
          <w:rFonts w:cs="Arial"/>
          <w:sz w:val="22"/>
          <w:szCs w:val="22"/>
        </w:rPr>
        <w:t xml:space="preserve"> Petra Klein ersteigert auf der Internetplattform </w:t>
      </w:r>
      <w:proofErr w:type="spellStart"/>
      <w:r>
        <w:rPr>
          <w:rFonts w:cs="Arial"/>
          <w:sz w:val="22"/>
          <w:szCs w:val="22"/>
        </w:rPr>
        <w:t>Abey</w:t>
      </w:r>
      <w:proofErr w:type="spellEnd"/>
      <w:r>
        <w:rPr>
          <w:rFonts w:cs="Arial"/>
          <w:sz w:val="22"/>
          <w:szCs w:val="22"/>
        </w:rPr>
        <w:t xml:space="preserve"> einen Hartschalenkoffer für 280 Euro von dem Unternehmen Kofferkönig GmbH. Sie bezahlt den Koffer inklusiver der Versandkosten von 10 Euro, 5 Tage später kommt die Lieferung bei ihr an. Mittlerweile bekam hat Sie jedoch von ihrer Tante einen Koffer geschenkt und braucht den bestellten Koffer daher nicht mehr.</w:t>
      </w:r>
    </w:p>
    <w:p w14:paraId="693932D8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cs="Arial"/>
          <w:sz w:val="22"/>
          <w:szCs w:val="22"/>
        </w:rPr>
      </w:pPr>
    </w:p>
    <w:p w14:paraId="526072CB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ascii="Helvetica" w:hAnsi="Helvetica" w:cs="Helvetica"/>
        </w:rPr>
      </w:pPr>
      <w:r>
        <w:rPr>
          <w:rFonts w:cs="Arial"/>
          <w:sz w:val="22"/>
          <w:szCs w:val="22"/>
        </w:rPr>
        <w:t>a) Kann Petra Klein den Koffer wieder an Kofferkönig zurückschicken? (Begründung)</w:t>
      </w:r>
    </w:p>
    <w:p w14:paraId="5920A5EB" w14:textId="69C7E06C" w:rsidR="00EF198C" w:rsidRPr="0099467B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cs="Arial"/>
          <w:b/>
          <w:bCs/>
          <w:sz w:val="22"/>
          <w:szCs w:val="22"/>
        </w:rPr>
      </w:pPr>
      <w:r w:rsidRPr="0099467B">
        <w:rPr>
          <w:rFonts w:cs="Arial"/>
          <w:b/>
          <w:sz w:val="22"/>
          <w:szCs w:val="22"/>
        </w:rPr>
        <w:t xml:space="preserve">Online-Auktionen sind keine echten Versteigerungen. Daher steht </w:t>
      </w:r>
      <w:r>
        <w:rPr>
          <w:rFonts w:cs="Arial"/>
          <w:b/>
          <w:sz w:val="22"/>
          <w:szCs w:val="22"/>
        </w:rPr>
        <w:t>Petra Klein</w:t>
      </w:r>
      <w:r w:rsidRPr="0099467B">
        <w:rPr>
          <w:rFonts w:cs="Arial"/>
          <w:b/>
          <w:sz w:val="22"/>
          <w:szCs w:val="22"/>
        </w:rPr>
        <w:t xml:space="preserve"> ein Widerrufsrecht zu, </w:t>
      </w:r>
      <w:r w:rsidR="00D71780">
        <w:rPr>
          <w:rFonts w:cs="Arial"/>
          <w:b/>
          <w:bCs/>
          <w:sz w:val="22"/>
          <w:szCs w:val="22"/>
        </w:rPr>
        <w:t>§ 312g (2) Nr. 10</w:t>
      </w:r>
      <w:r w:rsidRPr="0099467B">
        <w:rPr>
          <w:rFonts w:cs="Arial"/>
          <w:b/>
          <w:bCs/>
          <w:sz w:val="22"/>
          <w:szCs w:val="22"/>
        </w:rPr>
        <w:t xml:space="preserve"> gilt nicht für Online-Auktionen.</w:t>
      </w:r>
      <w:r>
        <w:rPr>
          <w:rFonts w:cs="Arial"/>
          <w:b/>
          <w:bCs/>
          <w:sz w:val="22"/>
          <w:szCs w:val="22"/>
        </w:rPr>
        <w:t xml:space="preserve"> Sie kann den Koffer zurückschicken.</w:t>
      </w:r>
    </w:p>
    <w:p w14:paraId="548A0FD9" w14:textId="77777777" w:rsidR="00EF198C" w:rsidRPr="0099467B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cs="Arial"/>
          <w:b/>
          <w:bCs/>
          <w:sz w:val="22"/>
          <w:szCs w:val="22"/>
        </w:rPr>
      </w:pPr>
    </w:p>
    <w:p w14:paraId="4F8ECBC0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ascii="Helvetica" w:hAnsi="Helvetica" w:cs="Helvetica"/>
        </w:rPr>
      </w:pPr>
    </w:p>
    <w:p w14:paraId="342B6F60" w14:textId="026384DC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ascii="Helvetica" w:hAnsi="Helvetica" w:cs="Helvetica"/>
        </w:rPr>
      </w:pPr>
      <w:r>
        <w:rPr>
          <w:rFonts w:cs="Arial"/>
          <w:sz w:val="22"/>
          <w:szCs w:val="22"/>
        </w:rPr>
        <w:t xml:space="preserve">b) Das Unternehmen Kofferkönig belehrt Petra Klein erst </w:t>
      </w:r>
      <w:r w:rsidR="00D71780">
        <w:rPr>
          <w:rFonts w:cs="Arial"/>
          <w:sz w:val="22"/>
          <w:szCs w:val="22"/>
        </w:rPr>
        <w:t>2 Wochen nach</w:t>
      </w:r>
      <w:r>
        <w:rPr>
          <w:rFonts w:cs="Arial"/>
          <w:sz w:val="22"/>
          <w:szCs w:val="22"/>
        </w:rPr>
        <w:t xml:space="preserve"> der Lieferung ordnungsgemäß über die Vertragsbedingungen. Wie lange hat sie Zeit, ihre Willenserklärung zu widerrufen?</w:t>
      </w:r>
      <w:r>
        <w:rPr>
          <w:rFonts w:cs="Arial"/>
          <w:sz w:val="18"/>
          <w:szCs w:val="18"/>
        </w:rPr>
        <w:t xml:space="preserve"> </w:t>
      </w:r>
    </w:p>
    <w:p w14:paraId="015C7B90" w14:textId="2F7A2E5C" w:rsidR="00EC1732" w:rsidRPr="00EC1732" w:rsidRDefault="00EF198C" w:rsidP="00EC17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cs="Arial"/>
          <w:b/>
          <w:sz w:val="22"/>
          <w:szCs w:val="22"/>
        </w:rPr>
      </w:pPr>
      <w:r w:rsidRPr="0099467B">
        <w:rPr>
          <w:rFonts w:cs="Arial"/>
          <w:b/>
          <w:sz w:val="22"/>
          <w:szCs w:val="22"/>
        </w:rPr>
        <w:t xml:space="preserve">Petra Klein wird erst </w:t>
      </w:r>
      <w:r w:rsidR="00EC1732">
        <w:rPr>
          <w:rFonts w:cs="Arial"/>
          <w:b/>
          <w:sz w:val="22"/>
          <w:szCs w:val="22"/>
        </w:rPr>
        <w:t xml:space="preserve">2 Wochen </w:t>
      </w:r>
      <w:r w:rsidRPr="0099467B">
        <w:rPr>
          <w:rFonts w:cs="Arial"/>
          <w:b/>
          <w:sz w:val="22"/>
          <w:szCs w:val="22"/>
        </w:rPr>
        <w:t xml:space="preserve">nach </w:t>
      </w:r>
      <w:r w:rsidR="00EC1732">
        <w:rPr>
          <w:rFonts w:cs="Arial"/>
          <w:b/>
          <w:sz w:val="22"/>
          <w:szCs w:val="22"/>
        </w:rPr>
        <w:t>der Lieferung</w:t>
      </w:r>
      <w:r w:rsidRPr="0099467B">
        <w:rPr>
          <w:rFonts w:cs="Arial"/>
          <w:b/>
          <w:sz w:val="22"/>
          <w:szCs w:val="22"/>
        </w:rPr>
        <w:t xml:space="preserve"> belehrt. Daher hat Sie </w:t>
      </w:r>
      <w:r w:rsidR="00D71780">
        <w:rPr>
          <w:rFonts w:cs="Arial"/>
          <w:b/>
          <w:sz w:val="22"/>
          <w:szCs w:val="22"/>
        </w:rPr>
        <w:t>ab diesem Zeitpunkt 14 Tage</w:t>
      </w:r>
      <w:r w:rsidR="00EC1732">
        <w:rPr>
          <w:rFonts w:cs="Arial"/>
          <w:b/>
          <w:sz w:val="22"/>
          <w:szCs w:val="22"/>
        </w:rPr>
        <w:t xml:space="preserve"> Zeit, </w:t>
      </w:r>
      <w:r w:rsidRPr="0099467B">
        <w:rPr>
          <w:rFonts w:cs="Arial"/>
          <w:b/>
          <w:sz w:val="22"/>
          <w:szCs w:val="22"/>
        </w:rPr>
        <w:t xml:space="preserve">ihre Willenserklärung zu </w:t>
      </w:r>
      <w:r w:rsidRPr="00EC1732">
        <w:rPr>
          <w:rFonts w:cs="Arial"/>
          <w:b/>
          <w:sz w:val="22"/>
          <w:szCs w:val="22"/>
        </w:rPr>
        <w:t>widerrufen. (</w:t>
      </w:r>
      <w:r w:rsidR="00EC1732" w:rsidRPr="00EC1732">
        <w:rPr>
          <w:rFonts w:cs="Arial"/>
          <w:b/>
          <w:sz w:val="22"/>
          <w:szCs w:val="22"/>
        </w:rPr>
        <w:t>§ 356 (3) BGB</w:t>
      </w:r>
      <w:r w:rsidR="00EC1732" w:rsidRPr="00EC1732">
        <w:rPr>
          <w:rFonts w:cs="Arial"/>
          <w:b/>
          <w:sz w:val="22"/>
          <w:szCs w:val="22"/>
        </w:rPr>
        <w:t xml:space="preserve">) </w:t>
      </w:r>
    </w:p>
    <w:p w14:paraId="71B80183" w14:textId="5F790AB4" w:rsidR="00EC1732" w:rsidRDefault="00EC1732" w:rsidP="00EC1732">
      <w:pPr>
        <w:spacing w:before="60" w:after="60"/>
        <w:jc w:val="center"/>
        <w:rPr>
          <w:rFonts w:cs="Arial"/>
        </w:rPr>
      </w:pPr>
    </w:p>
    <w:p w14:paraId="53FCF3F1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ascii="Helvetica" w:hAnsi="Helvetica" w:cs="Helvetica"/>
        </w:rPr>
      </w:pPr>
    </w:p>
    <w:p w14:paraId="2A2739F9" w14:textId="77777777" w:rsidR="00EF198C" w:rsidRPr="00C93991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c) Wie ist die rechtliche Lage bei a), wenn der Verkäufer des Kofferns eine Privatperson ist und hierauf auch bei der Auktion hingewiesen hat? („Dies ist ein  PRIVATVERKAUF</w:t>
      </w:r>
      <w:r w:rsidRPr="00C93991">
        <w:rPr>
          <w:rFonts w:cs="Arial"/>
          <w:sz w:val="22"/>
          <w:szCs w:val="22"/>
        </w:rPr>
        <w:t>,</w:t>
      </w:r>
      <w:proofErr w:type="gramStart"/>
      <w:r w:rsidRPr="00C93991">
        <w:rPr>
          <w:rFonts w:cs="Arial"/>
          <w:sz w:val="22"/>
          <w:szCs w:val="22"/>
        </w:rPr>
        <w:t> </w:t>
      </w:r>
      <w:proofErr w:type="gramEnd"/>
      <w:r w:rsidRPr="00C93991">
        <w:rPr>
          <w:rFonts w:cs="Arial"/>
          <w:sz w:val="22"/>
          <w:szCs w:val="22"/>
        </w:rPr>
        <w:t>daher keine Rücknahme, keine Garantie, keine Gewä</w:t>
      </w:r>
      <w:r>
        <w:rPr>
          <w:rFonts w:cs="Arial"/>
          <w:sz w:val="22"/>
          <w:szCs w:val="22"/>
        </w:rPr>
        <w:t>hrleistung.“)</w:t>
      </w:r>
    </w:p>
    <w:p w14:paraId="3DE7C718" w14:textId="77777777" w:rsidR="00EF198C" w:rsidRPr="0099467B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cs="Arial"/>
          <w:b/>
          <w:sz w:val="22"/>
          <w:szCs w:val="22"/>
        </w:rPr>
      </w:pPr>
      <w:r w:rsidRPr="0099467B">
        <w:rPr>
          <w:rFonts w:cs="Arial"/>
          <w:b/>
          <w:sz w:val="22"/>
          <w:szCs w:val="22"/>
        </w:rPr>
        <w:t xml:space="preserve">Hier liegt kein Fernabsatzvertrag vor, da es sich um zwei Privatpersonen handelt (§ 312b (1) </w:t>
      </w:r>
    </w:p>
    <w:p w14:paraId="7FCDC20D" w14:textId="77777777" w:rsidR="00EF198C" w:rsidRPr="0099467B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cs="Arial"/>
          <w:b/>
          <w:sz w:val="22"/>
          <w:szCs w:val="22"/>
        </w:rPr>
      </w:pPr>
      <w:r w:rsidRPr="0099467B">
        <w:rPr>
          <w:rFonts w:cs="Arial"/>
          <w:b/>
          <w:sz w:val="22"/>
          <w:szCs w:val="22"/>
        </w:rPr>
        <w:t xml:space="preserve">BGB). Daher hat Lisa Klein kein Widerrufsrecht, sie muss den Koffer behalten. </w:t>
      </w:r>
    </w:p>
    <w:p w14:paraId="139A60DD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ascii="Helvetica" w:hAnsi="Helvetica" w:cs="Helvetica"/>
        </w:rPr>
      </w:pPr>
    </w:p>
    <w:p w14:paraId="2482C6BE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ascii="Helvetica" w:hAnsi="Helvetica" w:cs="Helvetica"/>
        </w:rPr>
      </w:pPr>
    </w:p>
    <w:p w14:paraId="480F334D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ascii="Helvetica" w:hAnsi="Helvetica" w:cs="Helvetica"/>
        </w:rPr>
      </w:pPr>
      <w:r>
        <w:rPr>
          <w:rFonts w:ascii="Helvetica" w:hAnsi="Helvetica" w:cs="Helvetica"/>
        </w:rPr>
        <w:t>d) Wie ist die rechtliche Lage bei a), wenn Petra Klein den Koffer nach einem Telefonat mit einer Verkäuferin im Ladengeschäft von Kofferkönig kauft?</w:t>
      </w:r>
    </w:p>
    <w:p w14:paraId="0A2FE75E" w14:textId="52F84F24" w:rsidR="00EF198C" w:rsidRPr="0099467B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cs="Arial"/>
          <w:b/>
          <w:sz w:val="22"/>
          <w:szCs w:val="22"/>
        </w:rPr>
      </w:pPr>
      <w:r w:rsidRPr="0099467B">
        <w:rPr>
          <w:rFonts w:cs="Arial"/>
          <w:b/>
          <w:sz w:val="22"/>
          <w:szCs w:val="22"/>
        </w:rPr>
        <w:t>Kauft Sie den Koffer</w:t>
      </w:r>
      <w:r>
        <w:rPr>
          <w:rFonts w:cs="Arial"/>
          <w:b/>
          <w:sz w:val="22"/>
          <w:szCs w:val="22"/>
        </w:rPr>
        <w:t xml:space="preserve"> </w:t>
      </w:r>
      <w:r w:rsidRPr="0099467B">
        <w:rPr>
          <w:rFonts w:cs="Arial"/>
          <w:b/>
          <w:sz w:val="22"/>
          <w:szCs w:val="22"/>
        </w:rPr>
        <w:t>im Laden</w:t>
      </w:r>
      <w:proofErr w:type="gramStart"/>
      <w:r w:rsidRPr="0099467B">
        <w:rPr>
          <w:rFonts w:cs="Arial"/>
          <w:b/>
          <w:sz w:val="22"/>
          <w:szCs w:val="22"/>
        </w:rPr>
        <w:t xml:space="preserve">, </w:t>
      </w:r>
      <w:r>
        <w:rPr>
          <w:rFonts w:cs="Arial"/>
          <w:b/>
          <w:sz w:val="22"/>
          <w:szCs w:val="22"/>
        </w:rPr>
        <w:t>dann</w:t>
      </w:r>
      <w:proofErr w:type="gramEnd"/>
      <w:r>
        <w:rPr>
          <w:rFonts w:cs="Arial"/>
          <w:b/>
          <w:sz w:val="22"/>
          <w:szCs w:val="22"/>
        </w:rPr>
        <w:t xml:space="preserve"> </w:t>
      </w:r>
      <w:r w:rsidRPr="0099467B">
        <w:rPr>
          <w:rFonts w:cs="Arial"/>
          <w:b/>
          <w:sz w:val="22"/>
          <w:szCs w:val="22"/>
        </w:rPr>
        <w:t xml:space="preserve">liegt kein Fernabsatzvertrag vor. </w:t>
      </w:r>
      <w:r>
        <w:rPr>
          <w:rFonts w:cs="Arial"/>
          <w:b/>
          <w:sz w:val="22"/>
          <w:szCs w:val="22"/>
        </w:rPr>
        <w:t>Ein Fernabsatzvertrag liegt nur vor,</w:t>
      </w:r>
      <w:r w:rsidRPr="0099467B">
        <w:rPr>
          <w:rFonts w:cs="Arial"/>
          <w:b/>
          <w:sz w:val="22"/>
          <w:szCs w:val="22"/>
        </w:rPr>
        <w:t xml:space="preserve"> wenn </w:t>
      </w:r>
      <w:r w:rsidRPr="008910F0">
        <w:rPr>
          <w:rFonts w:cs="Arial"/>
          <w:b/>
          <w:sz w:val="22"/>
          <w:szCs w:val="22"/>
          <w:u w:val="single"/>
        </w:rPr>
        <w:t>ausschließlich</w:t>
      </w:r>
      <w:r w:rsidRPr="0099467B">
        <w:rPr>
          <w:rFonts w:cs="Arial"/>
          <w:b/>
          <w:sz w:val="22"/>
          <w:szCs w:val="22"/>
        </w:rPr>
        <w:t xml:space="preserve"> Fernkommunikationsmi</w:t>
      </w:r>
      <w:r w:rsidR="00EC1732">
        <w:rPr>
          <w:rFonts w:cs="Arial"/>
          <w:b/>
          <w:sz w:val="22"/>
          <w:szCs w:val="22"/>
        </w:rPr>
        <w:t>tteln  verwendet werden. (§ 312c</w:t>
      </w:r>
      <w:bookmarkStart w:id="0" w:name="_GoBack"/>
      <w:bookmarkEnd w:id="0"/>
      <w:r w:rsidRPr="0099467B">
        <w:rPr>
          <w:rFonts w:cs="Arial"/>
          <w:b/>
          <w:sz w:val="22"/>
          <w:szCs w:val="22"/>
        </w:rPr>
        <w:t xml:space="preserve"> BGB).</w:t>
      </w:r>
    </w:p>
    <w:p w14:paraId="6ACBC52E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cs="Arial"/>
          <w:sz w:val="18"/>
          <w:szCs w:val="18"/>
        </w:rPr>
      </w:pPr>
    </w:p>
    <w:p w14:paraId="26587338" w14:textId="77777777" w:rsidR="00EF198C" w:rsidRDefault="00EF198C" w:rsidP="00EF19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cs="Arial"/>
          <w:sz w:val="18"/>
          <w:szCs w:val="18"/>
        </w:rPr>
      </w:pPr>
    </w:p>
    <w:p w14:paraId="4B1EC176" w14:textId="77777777"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default" r:id="rId7"/>
      <w:footerReference w:type="default" r:id="rId8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BA34D" w14:textId="77777777" w:rsidR="00D71780" w:rsidRDefault="00D71780">
      <w:r>
        <w:separator/>
      </w:r>
    </w:p>
  </w:endnote>
  <w:endnote w:type="continuationSeparator" w:id="0">
    <w:p w14:paraId="4EDCC4C2" w14:textId="77777777" w:rsidR="00D71780" w:rsidRDefault="00D71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873C5" w14:textId="77777777" w:rsidR="00D71780" w:rsidRDefault="00D71780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Fernabsatzvertrag_Denig</w:t>
    </w:r>
    <w:proofErr w:type="spellEnd"/>
    <w:r>
      <w:rPr>
        <w:sz w:val="14"/>
      </w:rPr>
      <w:t>/Haller</w:t>
    </w:r>
  </w:p>
  <w:p w14:paraId="436E3085" w14:textId="77777777" w:rsidR="00D71780" w:rsidRPr="00947962" w:rsidRDefault="00D71780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0A4A7" w14:textId="77777777" w:rsidR="00D71780" w:rsidRDefault="00D71780">
      <w:r>
        <w:separator/>
      </w:r>
    </w:p>
  </w:footnote>
  <w:footnote w:type="continuationSeparator" w:id="0">
    <w:p w14:paraId="3D4E7E85" w14:textId="77777777" w:rsidR="00D71780" w:rsidRDefault="00D7178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C2216" w14:textId="77777777" w:rsidR="00D71780" w:rsidRDefault="00D71780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D71780" w14:paraId="42051EBF" w14:textId="77777777" w:rsidTr="00D71780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64848766" w14:textId="039CBEBF" w:rsidR="00D71780" w:rsidRDefault="00D71780" w:rsidP="00D71780">
          <w:pPr>
            <w:spacing w:before="120"/>
            <w:rPr>
              <w:sz w:val="22"/>
            </w:rPr>
          </w:pPr>
          <w:r>
            <w:rPr>
              <w:sz w:val="22"/>
            </w:rPr>
            <w:t>Der Fernabsatzvertrag - Vertiefung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4B4B32FD" w14:textId="77777777" w:rsidR="00D71780" w:rsidRDefault="00D71780" w:rsidP="00D71780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1EEFF312" w14:textId="77777777" w:rsidR="00D71780" w:rsidRDefault="00D71780" w:rsidP="00D71780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764CC73D" w14:textId="77777777" w:rsidR="00D71780" w:rsidRDefault="00D71780" w:rsidP="00D71780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7A8456DC" w14:textId="77777777" w:rsidR="00D71780" w:rsidRDefault="00D71780" w:rsidP="00D71780">
          <w:pPr>
            <w:spacing w:before="120"/>
            <w:rPr>
              <w:sz w:val="22"/>
            </w:rPr>
          </w:pPr>
        </w:p>
      </w:tc>
    </w:tr>
    <w:tr w:rsidR="00D71780" w14:paraId="400B6416" w14:textId="77777777" w:rsidTr="00D71780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597963B8" w14:textId="77777777" w:rsidR="00D71780" w:rsidRDefault="00D71780" w:rsidP="00D71780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0F37DFC" w14:textId="77777777" w:rsidR="00D71780" w:rsidRDefault="00D71780" w:rsidP="00D71780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3834F4DA" w14:textId="77777777" w:rsidR="00D71780" w:rsidRDefault="00D71780" w:rsidP="00D71780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62A233E6" w14:textId="77777777" w:rsidR="00D71780" w:rsidRDefault="00D71780" w:rsidP="00D71780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03ADDD31" w14:textId="77777777" w:rsidR="00D71780" w:rsidRDefault="00D71780" w:rsidP="00D71780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100B7E2E" w14:textId="77777777" w:rsidR="00D71780" w:rsidRPr="00C2614D" w:rsidRDefault="00D71780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434FF"/>
    <w:rsid w:val="0039780F"/>
    <w:rsid w:val="003A58DD"/>
    <w:rsid w:val="004170E6"/>
    <w:rsid w:val="0050512A"/>
    <w:rsid w:val="00574C3B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C2614D"/>
    <w:rsid w:val="00C362D9"/>
    <w:rsid w:val="00CE2B05"/>
    <w:rsid w:val="00D15BEF"/>
    <w:rsid w:val="00D71780"/>
    <w:rsid w:val="00DD5449"/>
    <w:rsid w:val="00DF14B7"/>
    <w:rsid w:val="00E04777"/>
    <w:rsid w:val="00E3400A"/>
    <w:rsid w:val="00E837CD"/>
    <w:rsid w:val="00EC1732"/>
    <w:rsid w:val="00ED1BF7"/>
    <w:rsid w:val="00ED45F0"/>
    <w:rsid w:val="00EF198C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257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F198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F198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4198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ANNETTE DENIG</cp:lastModifiedBy>
  <cp:revision>4</cp:revision>
  <cp:lastPrinted>2012-10-23T08:09:00Z</cp:lastPrinted>
  <dcterms:created xsi:type="dcterms:W3CDTF">2014-04-28T14:31:00Z</dcterms:created>
  <dcterms:modified xsi:type="dcterms:W3CDTF">2014-07-22T09:45:00Z</dcterms:modified>
</cp:coreProperties>
</file>